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91D81" w14:textId="77777777" w:rsidR="00661884" w:rsidRDefault="00000000" w:rsidP="005D7335">
      <w:pPr>
        <w:spacing w:before="240" w:after="60"/>
        <w:jc w:val="both"/>
      </w:pPr>
      <w:r>
        <w:rPr>
          <w:rFonts w:ascii="Arial" w:eastAsia="Arial" w:hAnsi="Arial" w:cs="Arial"/>
          <w:b/>
          <w:bCs/>
          <w:sz w:val="52"/>
          <w:szCs w:val="52"/>
        </w:rPr>
        <w:t>LAWLIT</w:t>
      </w:r>
    </w:p>
    <w:p w14:paraId="2FADA605" w14:textId="77777777" w:rsidR="00661884" w:rsidRDefault="00000000" w:rsidP="005D7335">
      <w:pPr>
        <w:pBdr>
          <w:bottom w:val="single" w:sz="3" w:space="6" w:color="8B6914"/>
        </w:pBdr>
        <w:spacing w:after="60"/>
        <w:jc w:val="both"/>
      </w:pPr>
      <w:r>
        <w:rPr>
          <w:rFonts w:ascii="Arial" w:eastAsia="Arial" w:hAnsi="Arial" w:cs="Arial"/>
          <w:color w:val="8B6914"/>
        </w:rPr>
        <w:t>lawlit.in</w:t>
      </w:r>
    </w:p>
    <w:p w14:paraId="33C6E496" w14:textId="77777777" w:rsidR="00661884" w:rsidRDefault="00661884" w:rsidP="005D7335">
      <w:pPr>
        <w:spacing w:after="120"/>
        <w:jc w:val="both"/>
      </w:pPr>
    </w:p>
    <w:p w14:paraId="703C0F01" w14:textId="77777777" w:rsidR="00661884" w:rsidRDefault="00000000" w:rsidP="005D7335">
      <w:pPr>
        <w:spacing w:after="80"/>
        <w:jc w:val="both"/>
      </w:pPr>
      <w:r>
        <w:rPr>
          <w:rFonts w:ascii="Arial" w:eastAsia="Arial" w:hAnsi="Arial" w:cs="Arial"/>
          <w:b/>
          <w:bCs/>
          <w:sz w:val="32"/>
          <w:szCs w:val="32"/>
        </w:rPr>
        <w:t>PRIVACY POLICY</w:t>
      </w:r>
    </w:p>
    <w:p w14:paraId="4B188243" w14:textId="77777777" w:rsidR="00661884" w:rsidRDefault="00000000" w:rsidP="005D7335">
      <w:pPr>
        <w:spacing w:after="240"/>
        <w:jc w:val="both"/>
      </w:pPr>
      <w:r>
        <w:rPr>
          <w:rFonts w:ascii="Arial" w:eastAsia="Arial" w:hAnsi="Arial" w:cs="Arial"/>
          <w:color w:val="666666"/>
          <w:sz w:val="20"/>
          <w:szCs w:val="20"/>
        </w:rPr>
        <w:t xml:space="preserve">Effective Date: 27 May </w:t>
      </w:r>
      <w:proofErr w:type="gramStart"/>
      <w:r>
        <w:rPr>
          <w:rFonts w:ascii="Arial" w:eastAsia="Arial" w:hAnsi="Arial" w:cs="Arial"/>
          <w:color w:val="666666"/>
          <w:sz w:val="20"/>
          <w:szCs w:val="20"/>
        </w:rPr>
        <w:t>2025  ·</w:t>
      </w:r>
      <w:proofErr w:type="gramEnd"/>
      <w:r>
        <w:rPr>
          <w:rFonts w:ascii="Arial" w:eastAsia="Arial" w:hAnsi="Arial" w:cs="Arial"/>
          <w:color w:val="666666"/>
          <w:sz w:val="20"/>
          <w:szCs w:val="20"/>
        </w:rPr>
        <w:t xml:space="preserve">  Last Updated: 27 May 2026</w:t>
      </w:r>
    </w:p>
    <w:p w14:paraId="064A2992" w14:textId="77777777" w:rsidR="00661884" w:rsidRDefault="00661884" w:rsidP="005D7335">
      <w:pPr>
        <w:pBdr>
          <w:bottom w:val="single" w:sz="2" w:space="4" w:color="DDDDDD"/>
        </w:pBdr>
        <w:spacing w:before="80" w:after="80"/>
        <w:jc w:val="both"/>
      </w:pPr>
    </w:p>
    <w:p w14:paraId="662988B9" w14:textId="77777777" w:rsidR="00661884" w:rsidRDefault="00661884" w:rsidP="005D7335">
      <w:pPr>
        <w:spacing w:after="120"/>
        <w:jc w:val="both"/>
      </w:pPr>
    </w:p>
    <w:p w14:paraId="626F145F" w14:textId="7902C2B6" w:rsidR="00661884" w:rsidRDefault="00000000" w:rsidP="005D7335">
      <w:pPr>
        <w:spacing w:after="160"/>
        <w:jc w:val="both"/>
      </w:pPr>
      <w:r>
        <w:t xml:space="preserve">This Privacy Policy ("Policy") describes how </w:t>
      </w:r>
      <w:proofErr w:type="spellStart"/>
      <w:r>
        <w:t>Lawlit</w:t>
      </w:r>
      <w:proofErr w:type="spellEnd"/>
      <w:r>
        <w:t xml:space="preserve"> Inc. ("</w:t>
      </w:r>
      <w:proofErr w:type="spellStart"/>
      <w:r>
        <w:t>Lawlit</w:t>
      </w:r>
      <w:proofErr w:type="spellEnd"/>
      <w:r>
        <w:t xml:space="preserve">," "we," "us," or "our"), operator of lawlit.in, collects, uses, stores, shares, and protects personal information when you visit our website, apply for admission, or enrol in any </w:t>
      </w:r>
      <w:proofErr w:type="spellStart"/>
      <w:r>
        <w:t>Lawlit</w:t>
      </w:r>
      <w:proofErr w:type="spellEnd"/>
      <w:r>
        <w:t xml:space="preserve"> programme. This Policy is published in accordance with Section 43A of the Information Technology Act, 2000 and the Information Technology (Reasonable </w:t>
      </w:r>
      <w:proofErr w:type="spellStart"/>
      <w:r>
        <w:t>Secur</w:t>
      </w:r>
      <w:r w:rsidR="005D7335">
        <w:t>s</w:t>
      </w:r>
      <w:r>
        <w:t>ity</w:t>
      </w:r>
      <w:proofErr w:type="spellEnd"/>
      <w:r>
        <w:t xml:space="preserve"> Practices and Procedures and Sensitive Personal Data or Information) Rules, 2011 ("SPDI Rules"), and will be updated as and when the Digital Personal Data Protection Act, 2023 ("DPDP Act") and its implementing rules come into full effect.</w:t>
      </w:r>
    </w:p>
    <w:p w14:paraId="5A6D6151" w14:textId="77777777" w:rsidR="00661884" w:rsidRDefault="00000000" w:rsidP="005D7335">
      <w:pPr>
        <w:spacing w:after="160"/>
        <w:jc w:val="both"/>
      </w:pPr>
      <w:r>
        <w:t xml:space="preserve">By accessing our website or </w:t>
      </w:r>
      <w:proofErr w:type="gramStart"/>
      <w:r>
        <w:t>submitting an application</w:t>
      </w:r>
      <w:proofErr w:type="gramEnd"/>
      <w:r>
        <w:t>, you consent to the practices described in this Policy.</w:t>
      </w:r>
    </w:p>
    <w:p w14:paraId="313B5457" w14:textId="77777777" w:rsidR="00661884" w:rsidRDefault="00000000" w:rsidP="005D7335">
      <w:pPr>
        <w:pStyle w:val="Heading1"/>
        <w:pBdr>
          <w:bottom w:val="single" w:sz="4" w:space="6" w:color="8B6914"/>
        </w:pBdr>
        <w:spacing w:before="480"/>
        <w:jc w:val="both"/>
      </w:pPr>
      <w:r>
        <w:t>1. Information We Collect</w:t>
      </w:r>
    </w:p>
    <w:p w14:paraId="4C1F675F" w14:textId="77777777" w:rsidR="00661884" w:rsidRDefault="00000000" w:rsidP="005D7335">
      <w:pPr>
        <w:pStyle w:val="Heading2"/>
        <w:jc w:val="both"/>
      </w:pPr>
      <w:proofErr w:type="gramStart"/>
      <w:r>
        <w:t>1.1  Information</w:t>
      </w:r>
      <w:proofErr w:type="gramEnd"/>
      <w:r>
        <w:t xml:space="preserve"> You Provide Directly</w:t>
      </w:r>
    </w:p>
    <w:p w14:paraId="6BCD7236" w14:textId="77777777" w:rsidR="00661884" w:rsidRDefault="00000000" w:rsidP="005D7335">
      <w:pPr>
        <w:pStyle w:val="ListParagraph"/>
        <w:numPr>
          <w:ilvl w:val="0"/>
          <w:numId w:val="2"/>
        </w:numPr>
        <w:spacing w:after="100"/>
        <w:jc w:val="both"/>
      </w:pPr>
      <w:r>
        <w:t>Identification data: full name, date of birth, gender.</w:t>
      </w:r>
    </w:p>
    <w:p w14:paraId="43A3857E" w14:textId="77777777" w:rsidR="00661884" w:rsidRDefault="00000000" w:rsidP="005D7335">
      <w:pPr>
        <w:pStyle w:val="ListParagraph"/>
        <w:numPr>
          <w:ilvl w:val="0"/>
          <w:numId w:val="2"/>
        </w:numPr>
        <w:spacing w:after="100"/>
        <w:jc w:val="both"/>
      </w:pPr>
      <w:r>
        <w:t>Contact data: email address, phone number, postal address.</w:t>
      </w:r>
    </w:p>
    <w:p w14:paraId="7345009F" w14:textId="77777777" w:rsidR="00661884" w:rsidRDefault="00000000" w:rsidP="005D7335">
      <w:pPr>
        <w:pStyle w:val="ListParagraph"/>
        <w:numPr>
          <w:ilvl w:val="0"/>
          <w:numId w:val="2"/>
        </w:numPr>
        <w:spacing w:after="100"/>
        <w:jc w:val="both"/>
      </w:pPr>
      <w:r>
        <w:t>Educational and professional background: law school, degree year, bar enrolment status, employer (where applicable).</w:t>
      </w:r>
    </w:p>
    <w:p w14:paraId="3935C966" w14:textId="77777777" w:rsidR="00661884" w:rsidRDefault="00000000" w:rsidP="005D7335">
      <w:pPr>
        <w:pStyle w:val="ListParagraph"/>
        <w:numPr>
          <w:ilvl w:val="0"/>
          <w:numId w:val="2"/>
        </w:numPr>
        <w:spacing w:after="100"/>
        <w:jc w:val="both"/>
      </w:pPr>
      <w:r>
        <w:t>Application materials: personal statements, writing samples, interview recordings.</w:t>
      </w:r>
    </w:p>
    <w:p w14:paraId="5F7C2EC9" w14:textId="77777777" w:rsidR="00661884" w:rsidRDefault="00000000" w:rsidP="005D7335">
      <w:pPr>
        <w:pStyle w:val="ListParagraph"/>
        <w:numPr>
          <w:ilvl w:val="0"/>
          <w:numId w:val="2"/>
        </w:numPr>
        <w:spacing w:after="100"/>
        <w:jc w:val="both"/>
      </w:pPr>
      <w:r>
        <w:t xml:space="preserve">Payment data: transaction reference numbers, partial payment card details as processed by our payment gateway partner. </w:t>
      </w:r>
      <w:proofErr w:type="spellStart"/>
      <w:r>
        <w:t>Lawlit</w:t>
      </w:r>
      <w:proofErr w:type="spellEnd"/>
      <w:r>
        <w:t xml:space="preserve"> does not store full card numbers.</w:t>
      </w:r>
    </w:p>
    <w:p w14:paraId="3A1BC1F7" w14:textId="77777777" w:rsidR="00661884" w:rsidRDefault="00000000" w:rsidP="005D7335">
      <w:pPr>
        <w:pStyle w:val="ListParagraph"/>
        <w:numPr>
          <w:ilvl w:val="0"/>
          <w:numId w:val="2"/>
        </w:numPr>
        <w:spacing w:after="100"/>
        <w:jc w:val="both"/>
      </w:pPr>
      <w:r>
        <w:t>Communications: emails, support tickets, or other messages you send us.</w:t>
      </w:r>
    </w:p>
    <w:p w14:paraId="55ECFE9D" w14:textId="77777777" w:rsidR="00661884" w:rsidRDefault="00000000" w:rsidP="005D7335">
      <w:pPr>
        <w:pStyle w:val="Heading2"/>
        <w:jc w:val="both"/>
      </w:pPr>
      <w:proofErr w:type="gramStart"/>
      <w:r>
        <w:t>1.2  Information</w:t>
      </w:r>
      <w:proofErr w:type="gramEnd"/>
      <w:r>
        <w:t xml:space="preserve"> Collected Automatically</w:t>
      </w:r>
    </w:p>
    <w:p w14:paraId="7FF0BDB9" w14:textId="77777777" w:rsidR="00661884" w:rsidRDefault="00000000" w:rsidP="005D7335">
      <w:pPr>
        <w:pStyle w:val="ListParagraph"/>
        <w:numPr>
          <w:ilvl w:val="0"/>
          <w:numId w:val="2"/>
        </w:numPr>
        <w:spacing w:after="100"/>
        <w:jc w:val="both"/>
      </w:pPr>
      <w:r>
        <w:t>Device and browser data: IP address, browser type and version, operating system, device identifiers.</w:t>
      </w:r>
    </w:p>
    <w:p w14:paraId="51AB699A" w14:textId="77777777" w:rsidR="00661884" w:rsidRDefault="00000000" w:rsidP="005D7335">
      <w:pPr>
        <w:pStyle w:val="ListParagraph"/>
        <w:numPr>
          <w:ilvl w:val="0"/>
          <w:numId w:val="2"/>
        </w:numPr>
        <w:spacing w:after="100"/>
        <w:jc w:val="both"/>
      </w:pPr>
      <w:r>
        <w:t>Usage data: pages visited, time spent, referring URL, click patterns, scroll depth.</w:t>
      </w:r>
    </w:p>
    <w:p w14:paraId="37FF1B7A" w14:textId="77777777" w:rsidR="00661884" w:rsidRDefault="00000000" w:rsidP="005D7335">
      <w:pPr>
        <w:pStyle w:val="ListParagraph"/>
        <w:numPr>
          <w:ilvl w:val="0"/>
          <w:numId w:val="2"/>
        </w:numPr>
        <w:spacing w:after="100"/>
        <w:jc w:val="both"/>
      </w:pPr>
      <w:r>
        <w:t>Cookies and similar technologies: session cookies, persistent cookies, pixel tags (see Clause 7).</w:t>
      </w:r>
    </w:p>
    <w:p w14:paraId="50CDEBB0" w14:textId="77777777" w:rsidR="00661884" w:rsidRDefault="00000000" w:rsidP="005D7335">
      <w:pPr>
        <w:pStyle w:val="Heading2"/>
        <w:jc w:val="both"/>
      </w:pPr>
      <w:proofErr w:type="gramStart"/>
      <w:r>
        <w:t>1.3  Information</w:t>
      </w:r>
      <w:proofErr w:type="gramEnd"/>
      <w:r>
        <w:t xml:space="preserve"> from Third Parties</w:t>
      </w:r>
    </w:p>
    <w:p w14:paraId="06D7AD03" w14:textId="77777777" w:rsidR="00661884" w:rsidRDefault="00000000" w:rsidP="005D7335">
      <w:pPr>
        <w:pStyle w:val="ListParagraph"/>
        <w:numPr>
          <w:ilvl w:val="0"/>
          <w:numId w:val="2"/>
        </w:numPr>
        <w:spacing w:after="100"/>
        <w:jc w:val="both"/>
      </w:pPr>
      <w:r>
        <w:t>Authentication providers (e.g., Google Sign-In): basic profile information as permitted by your settings.</w:t>
      </w:r>
    </w:p>
    <w:p w14:paraId="1B14F90D" w14:textId="77777777" w:rsidR="00661884" w:rsidRDefault="00000000" w:rsidP="005D7335">
      <w:pPr>
        <w:pStyle w:val="ListParagraph"/>
        <w:numPr>
          <w:ilvl w:val="0"/>
          <w:numId w:val="2"/>
        </w:numPr>
        <w:spacing w:after="100"/>
        <w:jc w:val="both"/>
      </w:pPr>
      <w:r>
        <w:lastRenderedPageBreak/>
        <w:t>Payment processors: confirmation of payment status.</w:t>
      </w:r>
    </w:p>
    <w:p w14:paraId="0EA31A9A" w14:textId="77777777" w:rsidR="00661884" w:rsidRDefault="00000000" w:rsidP="005D7335">
      <w:pPr>
        <w:pStyle w:val="ListParagraph"/>
        <w:numPr>
          <w:ilvl w:val="0"/>
          <w:numId w:val="2"/>
        </w:numPr>
        <w:spacing w:after="100"/>
        <w:jc w:val="both"/>
      </w:pPr>
      <w:r>
        <w:t>Referral partners or placement firm partners: confirmation of placement for ISA success-fee trigger purposes only.</w:t>
      </w:r>
    </w:p>
    <w:p w14:paraId="2240463C" w14:textId="77777777" w:rsidR="00661884" w:rsidRDefault="00000000" w:rsidP="005D7335">
      <w:pPr>
        <w:pStyle w:val="Heading1"/>
        <w:pBdr>
          <w:bottom w:val="single" w:sz="4" w:space="6" w:color="8B6914"/>
        </w:pBdr>
        <w:spacing w:before="480"/>
        <w:jc w:val="both"/>
      </w:pPr>
      <w:r>
        <w:t>2. How We Use Your Information</w:t>
      </w:r>
    </w:p>
    <w:p w14:paraId="16D33FCB" w14:textId="77777777" w:rsidR="00661884" w:rsidRDefault="00000000" w:rsidP="005D7335">
      <w:pPr>
        <w:spacing w:after="160"/>
        <w:jc w:val="both"/>
      </w:pPr>
      <w:r>
        <w:t>We use personal information for the following purposes:</w:t>
      </w:r>
    </w:p>
    <w:p w14:paraId="414319F9" w14:textId="77777777" w:rsidR="00661884" w:rsidRDefault="00000000" w:rsidP="005D7335">
      <w:pPr>
        <w:pStyle w:val="ListParagraph"/>
        <w:numPr>
          <w:ilvl w:val="0"/>
          <w:numId w:val="2"/>
        </w:numPr>
        <w:spacing w:after="100"/>
        <w:jc w:val="both"/>
      </w:pPr>
      <w:r>
        <w:t>Admission &amp; enrolment: evaluating your application, communicating admission decisions, processing fees.</w:t>
      </w:r>
    </w:p>
    <w:p w14:paraId="46484D62" w14:textId="77777777" w:rsidR="00661884" w:rsidRDefault="00000000" w:rsidP="005D7335">
      <w:pPr>
        <w:pStyle w:val="ListParagraph"/>
        <w:numPr>
          <w:ilvl w:val="0"/>
          <w:numId w:val="2"/>
        </w:numPr>
        <w:spacing w:after="100"/>
        <w:jc w:val="both"/>
      </w:pPr>
      <w:r>
        <w:t>Programme delivery: providing access to course materials, scheduling live sessions, issuing certificates.</w:t>
      </w:r>
    </w:p>
    <w:p w14:paraId="5ECD7FF7" w14:textId="77777777" w:rsidR="00661884" w:rsidRDefault="00000000" w:rsidP="005D7335">
      <w:pPr>
        <w:pStyle w:val="ListParagraph"/>
        <w:numPr>
          <w:ilvl w:val="0"/>
          <w:numId w:val="2"/>
        </w:numPr>
        <w:spacing w:after="100"/>
        <w:jc w:val="both"/>
      </w:pPr>
      <w:r>
        <w:t>Deferred tuition administration: verifying placement triggers under executed ISAs.</w:t>
      </w:r>
    </w:p>
    <w:p w14:paraId="0CB31EFE" w14:textId="77777777" w:rsidR="00661884" w:rsidRDefault="00000000" w:rsidP="005D7335">
      <w:pPr>
        <w:pStyle w:val="ListParagraph"/>
        <w:numPr>
          <w:ilvl w:val="0"/>
          <w:numId w:val="2"/>
        </w:numPr>
        <w:spacing w:after="100"/>
        <w:jc w:val="both"/>
      </w:pPr>
      <w:r>
        <w:t>Communications: sending cohort updates, announcements, newsletters (with opt-out available at any time).</w:t>
      </w:r>
    </w:p>
    <w:p w14:paraId="4EB8BE34" w14:textId="77777777" w:rsidR="00661884" w:rsidRDefault="00000000" w:rsidP="005D7335">
      <w:pPr>
        <w:pStyle w:val="ListParagraph"/>
        <w:numPr>
          <w:ilvl w:val="0"/>
          <w:numId w:val="2"/>
        </w:numPr>
        <w:spacing w:after="100"/>
        <w:jc w:val="both"/>
      </w:pPr>
      <w:r>
        <w:t>Analytics and improvement: understanding how our platform is used and improving content quality.</w:t>
      </w:r>
    </w:p>
    <w:p w14:paraId="2065B91E" w14:textId="77777777" w:rsidR="00661884" w:rsidRDefault="00000000" w:rsidP="005D7335">
      <w:pPr>
        <w:pStyle w:val="ListParagraph"/>
        <w:numPr>
          <w:ilvl w:val="0"/>
          <w:numId w:val="2"/>
        </w:numPr>
        <w:spacing w:after="100"/>
        <w:jc w:val="both"/>
      </w:pPr>
      <w:r>
        <w:t>Legal compliance: complying with applicable law, responding to legal process, enforcing our agreements.</w:t>
      </w:r>
    </w:p>
    <w:p w14:paraId="797B80C6" w14:textId="77777777" w:rsidR="00661884" w:rsidRDefault="00000000" w:rsidP="005D7335">
      <w:pPr>
        <w:pStyle w:val="ListParagraph"/>
        <w:numPr>
          <w:ilvl w:val="0"/>
          <w:numId w:val="2"/>
        </w:numPr>
        <w:spacing w:after="100"/>
        <w:jc w:val="both"/>
      </w:pPr>
      <w:r>
        <w:t>Fraud prevention and security: detecting and preventing unauthorised access or fraudulent transactions.</w:t>
      </w:r>
    </w:p>
    <w:p w14:paraId="120813B5" w14:textId="77777777" w:rsidR="00661884" w:rsidRDefault="00000000" w:rsidP="005D7335">
      <w:pPr>
        <w:spacing w:after="160"/>
        <w:jc w:val="both"/>
      </w:pPr>
      <w:r>
        <w:t>We do not sell, rent, or trade your personal information to third parties for their own marketing purposes.</w:t>
      </w:r>
    </w:p>
    <w:p w14:paraId="5AE8D042" w14:textId="77777777" w:rsidR="00661884" w:rsidRDefault="00000000" w:rsidP="005D7335">
      <w:pPr>
        <w:pStyle w:val="Heading1"/>
        <w:pBdr>
          <w:bottom w:val="single" w:sz="4" w:space="6" w:color="8B6914"/>
        </w:pBdr>
        <w:spacing w:before="480"/>
        <w:jc w:val="both"/>
      </w:pPr>
      <w:r>
        <w:t>3. Sensitive Personal Data or Information (SPDI)</w:t>
      </w:r>
    </w:p>
    <w:p w14:paraId="308A5516" w14:textId="7437C0C9" w:rsidR="00661884" w:rsidRDefault="00000000" w:rsidP="005D7335">
      <w:pPr>
        <w:spacing w:after="160"/>
        <w:jc w:val="both"/>
      </w:pPr>
      <w:r>
        <w:t xml:space="preserve">Under the SPDI Rules, financial information (including payment data) and certain other data may constitute SPDI. </w:t>
      </w:r>
      <w:proofErr w:type="spellStart"/>
      <w:r>
        <w:t>Lawlit</w:t>
      </w:r>
      <w:proofErr w:type="spellEnd"/>
      <w:r>
        <w:t xml:space="preserve"> collects such data only to the extent necessary for the purposes described above, obtains explicit consent before collection, and maintains reasonable security practices as required by law. You have the right to withdraw consent and to review or correct SPDI held by </w:t>
      </w:r>
      <w:proofErr w:type="spellStart"/>
      <w:r>
        <w:t>Lawlit</w:t>
      </w:r>
      <w:proofErr w:type="spellEnd"/>
      <w:r>
        <w:t xml:space="preserve"> by contacting us at </w:t>
      </w:r>
      <w:r w:rsidR="008F0D62">
        <w:t>office@lawlit.in.</w:t>
      </w:r>
    </w:p>
    <w:p w14:paraId="45EEF00E" w14:textId="77777777" w:rsidR="00661884" w:rsidRDefault="00000000" w:rsidP="005D7335">
      <w:pPr>
        <w:pStyle w:val="Heading1"/>
        <w:pBdr>
          <w:bottom w:val="single" w:sz="4" w:space="6" w:color="8B6914"/>
        </w:pBdr>
        <w:spacing w:before="480"/>
        <w:jc w:val="both"/>
      </w:pPr>
      <w:r>
        <w:t>4. Disclosure of Information</w:t>
      </w:r>
    </w:p>
    <w:p w14:paraId="7A7C125D" w14:textId="77777777" w:rsidR="00661884" w:rsidRDefault="00000000" w:rsidP="005D7335">
      <w:pPr>
        <w:pStyle w:val="Heading2"/>
        <w:jc w:val="both"/>
      </w:pPr>
      <w:proofErr w:type="gramStart"/>
      <w:r>
        <w:t>4.1  Service</w:t>
      </w:r>
      <w:proofErr w:type="gramEnd"/>
      <w:r>
        <w:t xml:space="preserve"> Providers</w:t>
      </w:r>
    </w:p>
    <w:p w14:paraId="04D96C5B" w14:textId="77777777" w:rsidR="00661884" w:rsidRDefault="00000000" w:rsidP="005D7335">
      <w:pPr>
        <w:spacing w:after="160"/>
        <w:jc w:val="both"/>
      </w:pPr>
      <w:r>
        <w:t xml:space="preserve">We share data with trusted service providers acting on our behalf, including cloud hosting providers, payment gateway operators, video conferencing platforms, email delivery services, and analytics providers. These providers are contractually bound to use data only as directed by </w:t>
      </w:r>
      <w:proofErr w:type="spellStart"/>
      <w:r>
        <w:t>Lawlit</w:t>
      </w:r>
      <w:proofErr w:type="spellEnd"/>
      <w:r>
        <w:t xml:space="preserve"> and to maintain appropriate security standards.</w:t>
      </w:r>
    </w:p>
    <w:p w14:paraId="241E8832" w14:textId="77777777" w:rsidR="00661884" w:rsidRDefault="00000000" w:rsidP="005D7335">
      <w:pPr>
        <w:pStyle w:val="Heading2"/>
        <w:jc w:val="both"/>
      </w:pPr>
      <w:proofErr w:type="gramStart"/>
      <w:r>
        <w:t>4.2  Mentors</w:t>
      </w:r>
      <w:proofErr w:type="gramEnd"/>
      <w:r>
        <w:t xml:space="preserve"> and Faculty</w:t>
      </w:r>
    </w:p>
    <w:p w14:paraId="425BB54A" w14:textId="77777777" w:rsidR="00661884" w:rsidRDefault="00000000" w:rsidP="005D7335">
      <w:pPr>
        <w:spacing w:after="160"/>
        <w:jc w:val="both"/>
      </w:pPr>
      <w:r>
        <w:t>Your educational performance data (assignment scores, attendance records, feedback) may be shared with your assigned mentor or programme faculty to the extent necessary for academic assessment and mentorship.</w:t>
      </w:r>
    </w:p>
    <w:p w14:paraId="5346AA87" w14:textId="77777777" w:rsidR="00661884" w:rsidRDefault="00000000" w:rsidP="005D7335">
      <w:pPr>
        <w:pStyle w:val="Heading2"/>
        <w:jc w:val="both"/>
      </w:pPr>
      <w:proofErr w:type="gramStart"/>
      <w:r>
        <w:lastRenderedPageBreak/>
        <w:t>4.3  Placement</w:t>
      </w:r>
      <w:proofErr w:type="gramEnd"/>
      <w:r>
        <w:t xml:space="preserve"> Partners</w:t>
      </w:r>
    </w:p>
    <w:p w14:paraId="5908E44B" w14:textId="77777777" w:rsidR="00661884" w:rsidRDefault="00000000" w:rsidP="005D7335">
      <w:pPr>
        <w:spacing w:after="160"/>
        <w:jc w:val="both"/>
      </w:pPr>
      <w:r>
        <w:t xml:space="preserve">With your prior written consent, we may share your academic profile and credentials with law firms, in-house legal teams, or legal aid organisations participating in </w:t>
      </w:r>
      <w:proofErr w:type="spellStart"/>
      <w:r>
        <w:t>Lawlit's</w:t>
      </w:r>
      <w:proofErr w:type="spellEnd"/>
      <w:r>
        <w:t xml:space="preserve"> placement network.</w:t>
      </w:r>
    </w:p>
    <w:p w14:paraId="452AF6A0" w14:textId="77777777" w:rsidR="00661884" w:rsidRDefault="00000000" w:rsidP="005D7335">
      <w:pPr>
        <w:pStyle w:val="Heading2"/>
        <w:jc w:val="both"/>
      </w:pPr>
      <w:proofErr w:type="gramStart"/>
      <w:r>
        <w:t>4.4  Legal</w:t>
      </w:r>
      <w:proofErr w:type="gramEnd"/>
      <w:r>
        <w:t xml:space="preserve"> Requirements</w:t>
      </w:r>
    </w:p>
    <w:p w14:paraId="1C4428C0" w14:textId="77777777" w:rsidR="00661884" w:rsidRDefault="00000000" w:rsidP="005D7335">
      <w:pPr>
        <w:spacing w:after="160"/>
        <w:jc w:val="both"/>
      </w:pPr>
      <w:r>
        <w:t xml:space="preserve">We may disclose information where required by law, court order, or governmental authority, or where we believe in good faith that such disclosure is necessary to protect the rights, property, or safety of </w:t>
      </w:r>
      <w:proofErr w:type="spellStart"/>
      <w:r>
        <w:t>Lawlit</w:t>
      </w:r>
      <w:proofErr w:type="spellEnd"/>
      <w:r>
        <w:t>, our users, or the public.</w:t>
      </w:r>
    </w:p>
    <w:p w14:paraId="7DDC124E" w14:textId="77777777" w:rsidR="00661884" w:rsidRDefault="00000000" w:rsidP="005D7335">
      <w:pPr>
        <w:pStyle w:val="Heading1"/>
        <w:pBdr>
          <w:bottom w:val="single" w:sz="4" w:space="6" w:color="8B6914"/>
        </w:pBdr>
        <w:spacing w:before="480"/>
        <w:jc w:val="both"/>
      </w:pPr>
      <w:r>
        <w:t>5. Data Retention</w:t>
      </w:r>
    </w:p>
    <w:p w14:paraId="7EB74241" w14:textId="77777777" w:rsidR="00661884" w:rsidRDefault="00000000" w:rsidP="005D7335">
      <w:pPr>
        <w:spacing w:after="160"/>
        <w:jc w:val="both"/>
      </w:pPr>
      <w:r>
        <w:t>We retain personal data for as long as your account is active or as necessary for the purposes described in this Policy, plus any additional period required or permitted by applicable law. Academic records (transcripts, certificates, assignment submissions) are retained for a minimum of 5 years from the date of programme completion. Financial records are retained for a minimum of 7 years to meet statutory obligations.</w:t>
      </w:r>
    </w:p>
    <w:p w14:paraId="5775A4A2" w14:textId="77777777" w:rsidR="00661884" w:rsidRDefault="00000000" w:rsidP="005D7335">
      <w:pPr>
        <w:pStyle w:val="Heading1"/>
        <w:pBdr>
          <w:bottom w:val="single" w:sz="4" w:space="6" w:color="8B6914"/>
        </w:pBdr>
        <w:spacing w:before="480"/>
        <w:jc w:val="both"/>
      </w:pPr>
      <w:r>
        <w:t>6. Your Rights</w:t>
      </w:r>
    </w:p>
    <w:p w14:paraId="5739BFC7" w14:textId="77777777" w:rsidR="00661884" w:rsidRDefault="00000000" w:rsidP="005D7335">
      <w:pPr>
        <w:spacing w:after="160"/>
        <w:jc w:val="both"/>
      </w:pPr>
      <w:r>
        <w:t>Subject to applicable law, you have the right to:</w:t>
      </w:r>
    </w:p>
    <w:p w14:paraId="5D7F28D5" w14:textId="77777777" w:rsidR="00661884" w:rsidRDefault="00000000" w:rsidP="005D7335">
      <w:pPr>
        <w:pStyle w:val="ListParagraph"/>
        <w:numPr>
          <w:ilvl w:val="0"/>
          <w:numId w:val="2"/>
        </w:numPr>
        <w:spacing w:after="100"/>
        <w:jc w:val="both"/>
      </w:pPr>
      <w:r>
        <w:t>Access: request a copy of the personal data we hold about you.</w:t>
      </w:r>
    </w:p>
    <w:p w14:paraId="724E50A9" w14:textId="77777777" w:rsidR="00661884" w:rsidRDefault="00000000" w:rsidP="005D7335">
      <w:pPr>
        <w:pStyle w:val="ListParagraph"/>
        <w:numPr>
          <w:ilvl w:val="0"/>
          <w:numId w:val="2"/>
        </w:numPr>
        <w:spacing w:after="100"/>
        <w:jc w:val="both"/>
      </w:pPr>
      <w:r>
        <w:t>Correction: request correction of inaccurate or incomplete data.</w:t>
      </w:r>
    </w:p>
    <w:p w14:paraId="41796911" w14:textId="77777777" w:rsidR="00661884" w:rsidRDefault="00000000" w:rsidP="005D7335">
      <w:pPr>
        <w:pStyle w:val="ListParagraph"/>
        <w:numPr>
          <w:ilvl w:val="0"/>
          <w:numId w:val="2"/>
        </w:numPr>
        <w:spacing w:after="100"/>
        <w:jc w:val="both"/>
      </w:pPr>
      <w:r>
        <w:t>Erasure: request deletion of your data where we have no legal basis for continued processing.</w:t>
      </w:r>
    </w:p>
    <w:p w14:paraId="69C08CD0" w14:textId="77777777" w:rsidR="00661884" w:rsidRDefault="00000000" w:rsidP="005D7335">
      <w:pPr>
        <w:pStyle w:val="ListParagraph"/>
        <w:numPr>
          <w:ilvl w:val="0"/>
          <w:numId w:val="2"/>
        </w:numPr>
        <w:spacing w:after="100"/>
        <w:jc w:val="both"/>
      </w:pPr>
      <w:r>
        <w:t>Restriction: request that we limit processing in certain circumstances.</w:t>
      </w:r>
    </w:p>
    <w:p w14:paraId="1AE6E706" w14:textId="77777777" w:rsidR="00661884" w:rsidRDefault="00000000" w:rsidP="005D7335">
      <w:pPr>
        <w:pStyle w:val="ListParagraph"/>
        <w:numPr>
          <w:ilvl w:val="0"/>
          <w:numId w:val="2"/>
        </w:numPr>
        <w:spacing w:after="100"/>
        <w:jc w:val="both"/>
      </w:pPr>
      <w:r>
        <w:t>Objection: object to processing based on our legitimate interests.</w:t>
      </w:r>
    </w:p>
    <w:p w14:paraId="27399464" w14:textId="77777777" w:rsidR="00661884" w:rsidRDefault="00000000" w:rsidP="005D7335">
      <w:pPr>
        <w:pStyle w:val="ListParagraph"/>
        <w:numPr>
          <w:ilvl w:val="0"/>
          <w:numId w:val="2"/>
        </w:numPr>
        <w:spacing w:after="100"/>
        <w:jc w:val="both"/>
      </w:pPr>
      <w:r>
        <w:t>Data portability: receive your data in a structured, machine-readable format.</w:t>
      </w:r>
    </w:p>
    <w:p w14:paraId="66FE978B" w14:textId="77777777" w:rsidR="00661884" w:rsidRDefault="00000000" w:rsidP="005D7335">
      <w:pPr>
        <w:pStyle w:val="ListParagraph"/>
        <w:numPr>
          <w:ilvl w:val="0"/>
          <w:numId w:val="2"/>
        </w:numPr>
        <w:spacing w:after="100"/>
        <w:jc w:val="both"/>
      </w:pPr>
      <w:r>
        <w:t>Withdraw consent: at any time, without affecting the lawfulness of processing prior to withdrawal.</w:t>
      </w:r>
    </w:p>
    <w:p w14:paraId="500899D2" w14:textId="7A06260C" w:rsidR="00661884" w:rsidRDefault="00000000" w:rsidP="005D7335">
      <w:pPr>
        <w:spacing w:after="160"/>
        <w:jc w:val="both"/>
      </w:pPr>
      <w:r>
        <w:t>To exercise any of these rights, please write to us at</w:t>
      </w:r>
      <w:r w:rsidR="005D7335">
        <w:t xml:space="preserve"> office@lawlit.in</w:t>
      </w:r>
      <w:r>
        <w:t>. We will respond within 30 days.</w:t>
      </w:r>
    </w:p>
    <w:p w14:paraId="7501DD76" w14:textId="77777777" w:rsidR="00661884" w:rsidRDefault="00000000" w:rsidP="005D7335">
      <w:pPr>
        <w:pStyle w:val="Heading1"/>
        <w:pBdr>
          <w:bottom w:val="single" w:sz="4" w:space="6" w:color="8B6914"/>
        </w:pBdr>
        <w:spacing w:before="480"/>
        <w:jc w:val="both"/>
      </w:pPr>
      <w:r>
        <w:t>7. Cookies</w:t>
      </w:r>
    </w:p>
    <w:p w14:paraId="6399DF57" w14:textId="77777777" w:rsidR="00661884" w:rsidRDefault="00000000" w:rsidP="005D7335">
      <w:pPr>
        <w:spacing w:after="160"/>
        <w:jc w:val="both"/>
      </w:pPr>
      <w:proofErr w:type="spellStart"/>
      <w:r>
        <w:t>Lawlit</w:t>
      </w:r>
      <w:proofErr w:type="spellEnd"/>
      <w:r>
        <w:t xml:space="preserve"> uses cookies and similar tracking technologies to enhance your experience and analyse platform usage. Categories of cookies used:</w:t>
      </w:r>
    </w:p>
    <w:p w14:paraId="211A06F7" w14:textId="77777777" w:rsidR="00661884" w:rsidRDefault="00000000" w:rsidP="005D7335">
      <w:pPr>
        <w:pStyle w:val="ListParagraph"/>
        <w:numPr>
          <w:ilvl w:val="0"/>
          <w:numId w:val="2"/>
        </w:numPr>
        <w:spacing w:after="100"/>
        <w:jc w:val="both"/>
      </w:pPr>
      <w:r>
        <w:t>Strictly necessary cookies: essential for the website to function; cannot be disabled.</w:t>
      </w:r>
    </w:p>
    <w:p w14:paraId="7E89FCF4" w14:textId="77777777" w:rsidR="00661884" w:rsidRDefault="00000000" w:rsidP="005D7335">
      <w:pPr>
        <w:pStyle w:val="ListParagraph"/>
        <w:numPr>
          <w:ilvl w:val="0"/>
          <w:numId w:val="2"/>
        </w:numPr>
        <w:spacing w:after="100"/>
        <w:jc w:val="both"/>
      </w:pPr>
      <w:r>
        <w:t>Analytics cookies: help us understand how visitors interact with our site (e.g., Google Analytics). These are enabled only with your consent.</w:t>
      </w:r>
    </w:p>
    <w:p w14:paraId="0EBA2AEF" w14:textId="77777777" w:rsidR="00661884" w:rsidRDefault="00000000" w:rsidP="005D7335">
      <w:pPr>
        <w:pStyle w:val="ListParagraph"/>
        <w:numPr>
          <w:ilvl w:val="0"/>
          <w:numId w:val="2"/>
        </w:numPr>
        <w:spacing w:after="100"/>
        <w:jc w:val="both"/>
      </w:pPr>
      <w:r>
        <w:t>Preference cookies: remember your settings and preferences.</w:t>
      </w:r>
    </w:p>
    <w:p w14:paraId="170DC3E8" w14:textId="77777777" w:rsidR="00661884" w:rsidRDefault="00000000" w:rsidP="005D7335">
      <w:pPr>
        <w:spacing w:after="160"/>
        <w:jc w:val="both"/>
      </w:pPr>
      <w:r>
        <w:lastRenderedPageBreak/>
        <w:t>You may manage or disable non-essential cookies through your browser settings or, where available, through the cookie preference centre on our website. Disabling cookies may affect some functionality.</w:t>
      </w:r>
    </w:p>
    <w:p w14:paraId="06214DC9" w14:textId="77777777" w:rsidR="00661884" w:rsidRDefault="00000000" w:rsidP="005D7335">
      <w:pPr>
        <w:pStyle w:val="Heading1"/>
        <w:pBdr>
          <w:bottom w:val="single" w:sz="4" w:space="6" w:color="8B6914"/>
        </w:pBdr>
        <w:spacing w:before="480"/>
        <w:jc w:val="both"/>
      </w:pPr>
      <w:r>
        <w:t>8. Data Security</w:t>
      </w:r>
    </w:p>
    <w:p w14:paraId="46B1DBD4" w14:textId="3340C143" w:rsidR="00661884" w:rsidRDefault="00000000" w:rsidP="005D7335">
      <w:pPr>
        <w:spacing w:after="160"/>
        <w:jc w:val="both"/>
      </w:pPr>
      <w:proofErr w:type="spellStart"/>
      <w:r>
        <w:t>Lawlit</w:t>
      </w:r>
      <w:proofErr w:type="spellEnd"/>
      <w:r>
        <w:t xml:space="preserve"> implements industry-standard technical and organisational security measures, including TLS encryption in transit, access controls, and regular security assessments, to protect your personal data against unauthorised access, alteration, disclosure, or destruction. However, no system is entirely secure; if you suspect any unauthorised use of your account, please notify us immediately at </w:t>
      </w:r>
      <w:r w:rsidR="005D7335">
        <w:t>office@lawlit.in.</w:t>
      </w:r>
    </w:p>
    <w:p w14:paraId="304B3C9E" w14:textId="77777777" w:rsidR="00661884" w:rsidRDefault="00000000" w:rsidP="005D7335">
      <w:pPr>
        <w:pStyle w:val="Heading1"/>
        <w:pBdr>
          <w:bottom w:val="single" w:sz="4" w:space="6" w:color="8B6914"/>
        </w:pBdr>
        <w:spacing w:before="480"/>
        <w:jc w:val="both"/>
      </w:pPr>
      <w:r>
        <w:t>9. Children's Data</w:t>
      </w:r>
    </w:p>
    <w:p w14:paraId="516142C1" w14:textId="77777777" w:rsidR="00661884" w:rsidRDefault="00000000" w:rsidP="005D7335">
      <w:pPr>
        <w:spacing w:after="160"/>
        <w:jc w:val="both"/>
      </w:pPr>
      <w:proofErr w:type="spellStart"/>
      <w:r>
        <w:t>Lawlit's</w:t>
      </w:r>
      <w:proofErr w:type="spellEnd"/>
      <w:r>
        <w:t xml:space="preserve"> programmes are designed for adults aged 18 years and above. We do not knowingly collect personal data from individuals under 18. If we become aware that we have inadvertently collected such data, we will delete it promptly.</w:t>
      </w:r>
    </w:p>
    <w:p w14:paraId="1B4AB949" w14:textId="77777777" w:rsidR="00661884" w:rsidRDefault="00000000" w:rsidP="005D7335">
      <w:pPr>
        <w:pStyle w:val="Heading1"/>
        <w:pBdr>
          <w:bottom w:val="single" w:sz="4" w:space="6" w:color="8B6914"/>
        </w:pBdr>
        <w:spacing w:before="480"/>
        <w:jc w:val="both"/>
      </w:pPr>
      <w:r>
        <w:t>10. Cross-Border Transfers</w:t>
      </w:r>
    </w:p>
    <w:p w14:paraId="1CB2F0D3" w14:textId="77777777" w:rsidR="00661884" w:rsidRDefault="00000000" w:rsidP="005D7335">
      <w:pPr>
        <w:spacing w:after="160"/>
        <w:jc w:val="both"/>
      </w:pPr>
      <w:r>
        <w:t>Your data may be processed by our service providers on servers located outside India. Where this occurs, we take steps to ensure that adequate levels of protection are in place consistent with applicable Indian law.</w:t>
      </w:r>
    </w:p>
    <w:p w14:paraId="17CD9730" w14:textId="77777777" w:rsidR="00661884" w:rsidRDefault="00000000" w:rsidP="005D7335">
      <w:pPr>
        <w:pStyle w:val="Heading1"/>
        <w:pBdr>
          <w:bottom w:val="single" w:sz="4" w:space="6" w:color="8B6914"/>
        </w:pBdr>
        <w:spacing w:before="480"/>
        <w:jc w:val="both"/>
      </w:pPr>
      <w:r>
        <w:t>11. Changes to This Policy</w:t>
      </w:r>
    </w:p>
    <w:p w14:paraId="452DB952" w14:textId="77777777" w:rsidR="00661884" w:rsidRDefault="00000000" w:rsidP="005D7335">
      <w:pPr>
        <w:spacing w:after="160"/>
        <w:jc w:val="both"/>
      </w:pPr>
      <w:r>
        <w:t>We may update this Policy periodically. Material changes will be communicated via email or a prominent notice on our website at least 14 days before taking effect. Continued use of our services after the effective date constitutes acceptance of the updated Policy.</w:t>
      </w:r>
    </w:p>
    <w:p w14:paraId="062B5110" w14:textId="77777777" w:rsidR="00661884" w:rsidRDefault="00000000" w:rsidP="005D7335">
      <w:pPr>
        <w:pStyle w:val="Heading1"/>
        <w:pBdr>
          <w:bottom w:val="single" w:sz="4" w:space="6" w:color="8B6914"/>
        </w:pBdr>
        <w:spacing w:before="480"/>
        <w:jc w:val="both"/>
      </w:pPr>
      <w:r>
        <w:t>12. Grievance Officer</w:t>
      </w:r>
    </w:p>
    <w:p w14:paraId="46D19739" w14:textId="77777777" w:rsidR="00661884" w:rsidRDefault="00000000" w:rsidP="005D7335">
      <w:pPr>
        <w:spacing w:after="160"/>
        <w:jc w:val="both"/>
      </w:pPr>
      <w:r>
        <w:t xml:space="preserve">In accordance with the Information Technology Act, 2000 and the SPDI Rules, </w:t>
      </w:r>
      <w:proofErr w:type="spellStart"/>
      <w:r>
        <w:t>Lawlit</w:t>
      </w:r>
      <w:proofErr w:type="spellEnd"/>
      <w:r>
        <w:t xml:space="preserve"> has designated a Grievance Officer to address privacy-related concerns:</w:t>
      </w:r>
    </w:p>
    <w:p w14:paraId="71A33953" w14:textId="2E6CDE2B" w:rsidR="00661884" w:rsidRDefault="00000000" w:rsidP="005D7335">
      <w:pPr>
        <w:spacing w:after="160"/>
        <w:jc w:val="both"/>
      </w:pPr>
      <w:r>
        <w:rPr>
          <w:b/>
          <w:bCs/>
        </w:rPr>
        <w:t xml:space="preserve">Email: </w:t>
      </w:r>
      <w:r w:rsidR="00DE498C">
        <w:t>office@lawlit.in</w:t>
      </w:r>
    </w:p>
    <w:p w14:paraId="1DDB1A45" w14:textId="77777777" w:rsidR="00661884" w:rsidRDefault="00000000" w:rsidP="005D7335">
      <w:pPr>
        <w:spacing w:after="160"/>
        <w:jc w:val="both"/>
      </w:pPr>
      <w:r>
        <w:rPr>
          <w:b/>
          <w:bCs/>
        </w:rPr>
        <w:t xml:space="preserve">Response time: </w:t>
      </w:r>
      <w:r>
        <w:t>We aim to acknowledge complaints within 24 hours and resolve them within 30 days.</w:t>
      </w:r>
    </w:p>
    <w:p w14:paraId="798B78F1" w14:textId="77777777" w:rsidR="00661884" w:rsidRDefault="00661884" w:rsidP="005D7335">
      <w:pPr>
        <w:spacing w:after="120"/>
        <w:jc w:val="both"/>
      </w:pPr>
    </w:p>
    <w:p w14:paraId="76ABB85F" w14:textId="77777777" w:rsidR="00661884" w:rsidRDefault="00000000" w:rsidP="005D7335">
      <w:pPr>
        <w:spacing w:after="160"/>
        <w:jc w:val="both"/>
      </w:pPr>
      <w:r>
        <w:rPr>
          <w:color w:val="888888"/>
        </w:rPr>
        <w:t xml:space="preserve">© 2024–2026 </w:t>
      </w:r>
      <w:proofErr w:type="spellStart"/>
      <w:r>
        <w:rPr>
          <w:color w:val="888888"/>
        </w:rPr>
        <w:t>Lawlit</w:t>
      </w:r>
      <w:proofErr w:type="spellEnd"/>
      <w:r>
        <w:rPr>
          <w:color w:val="888888"/>
        </w:rPr>
        <w:t xml:space="preserve"> Inc. All rights reserved.</w:t>
      </w:r>
    </w:p>
    <w:sectPr w:rsidR="00661884">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FA647" w14:textId="77777777" w:rsidR="00085A61" w:rsidRDefault="00085A61">
      <w:r>
        <w:separator/>
      </w:r>
    </w:p>
  </w:endnote>
  <w:endnote w:type="continuationSeparator" w:id="0">
    <w:p w14:paraId="0C9C1F07" w14:textId="77777777" w:rsidR="00085A61" w:rsidRDefault="00085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60C2" w14:textId="0CEB534E" w:rsidR="00661884" w:rsidRDefault="00000000">
    <w:pPr>
      <w:jc w:val="center"/>
    </w:pPr>
    <w:proofErr w:type="gramStart"/>
    <w:r>
      <w:rPr>
        <w:rFonts w:ascii="Arial" w:eastAsia="Arial" w:hAnsi="Arial" w:cs="Arial"/>
        <w:color w:val="888888"/>
        <w:sz w:val="18"/>
        <w:szCs w:val="18"/>
      </w:rPr>
      <w:t>https://lawlit.in  ·</w:t>
    </w:r>
    <w:proofErr w:type="gramEnd"/>
    <w:r>
      <w:rPr>
        <w:rFonts w:ascii="Arial" w:eastAsia="Arial" w:hAnsi="Arial" w:cs="Arial"/>
        <w:color w:val="888888"/>
        <w:sz w:val="18"/>
        <w:szCs w:val="18"/>
      </w:rPr>
      <w:t xml:space="preserve">  </w:t>
    </w:r>
    <w:r w:rsidR="008F0D62">
      <w:rPr>
        <w:rFonts w:ascii="Arial" w:eastAsia="Arial" w:hAnsi="Arial" w:cs="Arial"/>
        <w:color w:val="888888"/>
        <w:sz w:val="18"/>
        <w:szCs w:val="18"/>
      </w:rPr>
      <w:t>office@lawlit.in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DE9F8" w14:textId="77777777" w:rsidR="00085A61" w:rsidRDefault="00085A61">
      <w:r>
        <w:separator/>
      </w:r>
    </w:p>
  </w:footnote>
  <w:footnote w:type="continuationSeparator" w:id="0">
    <w:p w14:paraId="17B88F7C" w14:textId="77777777" w:rsidR="00085A61" w:rsidRDefault="00085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72CCC"/>
    <w:multiLevelType w:val="hybridMultilevel"/>
    <w:tmpl w:val="9662966A"/>
    <w:lvl w:ilvl="0" w:tplc="D7E05BFE">
      <w:start w:val="1"/>
      <w:numFmt w:val="bullet"/>
      <w:lvlText w:val="–"/>
      <w:lvlJc w:val="left"/>
      <w:pPr>
        <w:ind w:left="720" w:hanging="360"/>
      </w:pPr>
    </w:lvl>
    <w:lvl w:ilvl="1" w:tplc="9B84C260">
      <w:numFmt w:val="decimal"/>
      <w:lvlText w:val=""/>
      <w:lvlJc w:val="left"/>
    </w:lvl>
    <w:lvl w:ilvl="2" w:tplc="851AB180">
      <w:numFmt w:val="decimal"/>
      <w:lvlText w:val=""/>
      <w:lvlJc w:val="left"/>
    </w:lvl>
    <w:lvl w:ilvl="3" w:tplc="FC2CB446">
      <w:numFmt w:val="decimal"/>
      <w:lvlText w:val=""/>
      <w:lvlJc w:val="left"/>
    </w:lvl>
    <w:lvl w:ilvl="4" w:tplc="6114A79A">
      <w:numFmt w:val="decimal"/>
      <w:lvlText w:val=""/>
      <w:lvlJc w:val="left"/>
    </w:lvl>
    <w:lvl w:ilvl="5" w:tplc="6018CD52">
      <w:numFmt w:val="decimal"/>
      <w:lvlText w:val=""/>
      <w:lvlJc w:val="left"/>
    </w:lvl>
    <w:lvl w:ilvl="6" w:tplc="72C8BC0E">
      <w:numFmt w:val="decimal"/>
      <w:lvlText w:val=""/>
      <w:lvlJc w:val="left"/>
    </w:lvl>
    <w:lvl w:ilvl="7" w:tplc="DB9CAB64">
      <w:numFmt w:val="decimal"/>
      <w:lvlText w:val=""/>
      <w:lvlJc w:val="left"/>
    </w:lvl>
    <w:lvl w:ilvl="8" w:tplc="8EC6BDD6">
      <w:numFmt w:val="decimal"/>
      <w:lvlText w:val=""/>
      <w:lvlJc w:val="left"/>
    </w:lvl>
  </w:abstractNum>
  <w:abstractNum w:abstractNumId="1" w15:restartNumberingAfterBreak="0">
    <w:nsid w:val="575102E6"/>
    <w:multiLevelType w:val="hybridMultilevel"/>
    <w:tmpl w:val="CE8C8072"/>
    <w:lvl w:ilvl="0" w:tplc="2C2CFDF4">
      <w:start w:val="1"/>
      <w:numFmt w:val="bullet"/>
      <w:lvlText w:val="●"/>
      <w:lvlJc w:val="left"/>
      <w:pPr>
        <w:ind w:left="720" w:hanging="360"/>
      </w:pPr>
    </w:lvl>
    <w:lvl w:ilvl="1" w:tplc="2730A902">
      <w:start w:val="1"/>
      <w:numFmt w:val="bullet"/>
      <w:lvlText w:val="○"/>
      <w:lvlJc w:val="left"/>
      <w:pPr>
        <w:ind w:left="1440" w:hanging="360"/>
      </w:pPr>
    </w:lvl>
    <w:lvl w:ilvl="2" w:tplc="46F45BE6">
      <w:start w:val="1"/>
      <w:numFmt w:val="bullet"/>
      <w:lvlText w:val="■"/>
      <w:lvlJc w:val="left"/>
      <w:pPr>
        <w:ind w:left="2160" w:hanging="360"/>
      </w:pPr>
    </w:lvl>
    <w:lvl w:ilvl="3" w:tplc="ED988F06">
      <w:start w:val="1"/>
      <w:numFmt w:val="bullet"/>
      <w:lvlText w:val="●"/>
      <w:lvlJc w:val="left"/>
      <w:pPr>
        <w:ind w:left="2880" w:hanging="360"/>
      </w:pPr>
    </w:lvl>
    <w:lvl w:ilvl="4" w:tplc="4038F7F2">
      <w:start w:val="1"/>
      <w:numFmt w:val="bullet"/>
      <w:lvlText w:val="○"/>
      <w:lvlJc w:val="left"/>
      <w:pPr>
        <w:ind w:left="3600" w:hanging="360"/>
      </w:pPr>
    </w:lvl>
    <w:lvl w:ilvl="5" w:tplc="99DCF1E4">
      <w:start w:val="1"/>
      <w:numFmt w:val="bullet"/>
      <w:lvlText w:val="■"/>
      <w:lvlJc w:val="left"/>
      <w:pPr>
        <w:ind w:left="4320" w:hanging="360"/>
      </w:pPr>
    </w:lvl>
    <w:lvl w:ilvl="6" w:tplc="4704C992">
      <w:start w:val="1"/>
      <w:numFmt w:val="bullet"/>
      <w:lvlText w:val="●"/>
      <w:lvlJc w:val="left"/>
      <w:pPr>
        <w:ind w:left="5040" w:hanging="360"/>
      </w:pPr>
    </w:lvl>
    <w:lvl w:ilvl="7" w:tplc="619C2146">
      <w:start w:val="1"/>
      <w:numFmt w:val="bullet"/>
      <w:lvlText w:val="●"/>
      <w:lvlJc w:val="left"/>
      <w:pPr>
        <w:ind w:left="5760" w:hanging="360"/>
      </w:pPr>
    </w:lvl>
    <w:lvl w:ilvl="8" w:tplc="F8F220BA">
      <w:start w:val="1"/>
      <w:numFmt w:val="bullet"/>
      <w:lvlText w:val="●"/>
      <w:lvlJc w:val="left"/>
      <w:pPr>
        <w:ind w:left="6480" w:hanging="360"/>
      </w:pPr>
    </w:lvl>
  </w:abstractNum>
  <w:num w:numId="1" w16cid:durableId="2118331419">
    <w:abstractNumId w:val="1"/>
    <w:lvlOverride w:ilvl="0">
      <w:startOverride w:val="1"/>
    </w:lvlOverride>
  </w:num>
  <w:num w:numId="2" w16cid:durableId="14146255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884"/>
    <w:rsid w:val="00085A61"/>
    <w:rsid w:val="005D7335"/>
    <w:rsid w:val="00661884"/>
    <w:rsid w:val="008F0D62"/>
    <w:rsid w:val="00B67DCB"/>
    <w:rsid w:val="00D07F79"/>
    <w:rsid w:val="00DE498C"/>
    <w:rsid w:val="00FF5823"/>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F4607"/>
  <w15:docId w15:val="{ECE7466A-A5DC-4046-BA73-EE89D7C5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1A1A1A"/>
        <w:sz w:val="22"/>
        <w:szCs w:val="22"/>
        <w:lang w:val="en-IN"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rFonts w:ascii="Arial" w:eastAsia="Arial" w:hAnsi="Arial" w:cs="Arial"/>
      <w:b/>
      <w:bCs/>
      <w:sz w:val="36"/>
      <w:szCs w:val="36"/>
    </w:rPr>
  </w:style>
  <w:style w:type="paragraph" w:styleId="Heading2">
    <w:name w:val="heading 2"/>
    <w:uiPriority w:val="9"/>
    <w:unhideWhenUsed/>
    <w:qFormat/>
    <w:pPr>
      <w:spacing w:before="320" w:after="120"/>
      <w:outlineLvl w:val="1"/>
    </w:pPr>
    <w:rPr>
      <w:rFonts w:ascii="Arial" w:eastAsia="Arial" w:hAnsi="Arial" w:cs="Arial"/>
      <w:b/>
      <w:bCs/>
      <w:sz w:val="26"/>
      <w:szCs w:val="26"/>
    </w:rPr>
  </w:style>
  <w:style w:type="paragraph" w:styleId="Heading3">
    <w:name w:val="heading 3"/>
    <w:uiPriority w:val="9"/>
    <w:semiHidden/>
    <w:unhideWhenUsed/>
    <w:qFormat/>
    <w:pPr>
      <w:spacing w:before="240" w:after="80"/>
      <w:outlineLvl w:val="2"/>
    </w:pPr>
    <w:rPr>
      <w:rFonts w:ascii="Arial" w:eastAsia="Arial" w:hAnsi="Arial" w:cs="Arial"/>
      <w:b/>
      <w:bCs/>
      <w:color w:val="555555"/>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5D7335"/>
    <w:rPr>
      <w:color w:val="605E5C"/>
      <w:shd w:val="clear" w:color="auto" w:fill="E1DFDD"/>
    </w:rPr>
  </w:style>
  <w:style w:type="paragraph" w:styleId="Header">
    <w:name w:val="header"/>
    <w:basedOn w:val="Normal"/>
    <w:link w:val="HeaderChar"/>
    <w:uiPriority w:val="99"/>
    <w:unhideWhenUsed/>
    <w:rsid w:val="008F0D62"/>
    <w:pPr>
      <w:tabs>
        <w:tab w:val="center" w:pos="4513"/>
        <w:tab w:val="right" w:pos="9026"/>
      </w:tabs>
    </w:pPr>
  </w:style>
  <w:style w:type="character" w:customStyle="1" w:styleId="HeaderChar">
    <w:name w:val="Header Char"/>
    <w:basedOn w:val="DefaultParagraphFont"/>
    <w:link w:val="Header"/>
    <w:uiPriority w:val="99"/>
    <w:rsid w:val="008F0D62"/>
  </w:style>
  <w:style w:type="paragraph" w:styleId="Footer">
    <w:name w:val="footer"/>
    <w:basedOn w:val="Normal"/>
    <w:link w:val="FooterChar"/>
    <w:uiPriority w:val="99"/>
    <w:unhideWhenUsed/>
    <w:rsid w:val="008F0D62"/>
    <w:pPr>
      <w:tabs>
        <w:tab w:val="center" w:pos="4513"/>
        <w:tab w:val="right" w:pos="9026"/>
      </w:tabs>
    </w:pPr>
  </w:style>
  <w:style w:type="character" w:customStyle="1" w:styleId="FooterChar">
    <w:name w:val="Footer Char"/>
    <w:basedOn w:val="DefaultParagraphFont"/>
    <w:link w:val="Footer"/>
    <w:uiPriority w:val="99"/>
    <w:rsid w:val="008F0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1182</Words>
  <Characters>6744</Characters>
  <Application>Microsoft Office Word</Application>
  <DocSecurity>0</DocSecurity>
  <Lines>56</Lines>
  <Paragraphs>15</Paragraphs>
  <ScaleCrop>false</ScaleCrop>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Harshvardhan Mudgal</cp:lastModifiedBy>
  <cp:revision>4</cp:revision>
  <dcterms:created xsi:type="dcterms:W3CDTF">2026-05-27T08:57:00Z</dcterms:created>
  <dcterms:modified xsi:type="dcterms:W3CDTF">2026-05-28T10:31:00Z</dcterms:modified>
</cp:coreProperties>
</file>