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8A10" w14:textId="77777777" w:rsidR="00BC4304" w:rsidRDefault="00000000">
      <w:pPr>
        <w:spacing w:before="240" w:after="40"/>
        <w:jc w:val="center"/>
      </w:pPr>
      <w:r>
        <w:rPr>
          <w:b/>
          <w:bCs/>
          <w:color w:val="1A2B6B"/>
          <w:sz w:val="56"/>
          <w:szCs w:val="56"/>
        </w:rPr>
        <w:t>LAWLIT</w:t>
      </w:r>
    </w:p>
    <w:p w14:paraId="295457B0" w14:textId="77777777" w:rsidR="00BC4304" w:rsidRDefault="00000000">
      <w:pPr>
        <w:spacing w:after="40"/>
        <w:jc w:val="center"/>
      </w:pPr>
      <w:r>
        <w:rPr>
          <w:color w:val="888888"/>
        </w:rPr>
        <w:t>lawlit.in</w:t>
      </w:r>
    </w:p>
    <w:p w14:paraId="23B4C68B" w14:textId="77777777" w:rsidR="00BC4304" w:rsidRDefault="00000000">
      <w:pPr>
        <w:pBdr>
          <w:bottom w:val="single" w:sz="12" w:space="6" w:color="C8A951"/>
        </w:pBdr>
        <w:spacing w:before="40" w:after="40"/>
        <w:jc w:val="center"/>
      </w:pPr>
      <w:r>
        <w:rPr>
          <w:b/>
          <w:bCs/>
          <w:color w:val="1A2B6B"/>
          <w:sz w:val="32"/>
          <w:szCs w:val="32"/>
        </w:rPr>
        <w:t>REFUND &amp; CANCELLATION POLICY</w:t>
      </w:r>
    </w:p>
    <w:p w14:paraId="69318089" w14:textId="71E63B91" w:rsidR="00BC4304" w:rsidRDefault="00000000">
      <w:pPr>
        <w:spacing w:before="100" w:after="60"/>
        <w:jc w:val="center"/>
      </w:pPr>
      <w:r>
        <w:rPr>
          <w:i/>
          <w:iCs/>
          <w:color w:val="888888"/>
          <w:sz w:val="20"/>
          <w:szCs w:val="20"/>
        </w:rPr>
        <w:t>Effective Date: 27 May 2025 · Last Updated: 27 May 2026</w:t>
      </w:r>
    </w:p>
    <w:p w14:paraId="2B1CF0E5" w14:textId="77777777" w:rsidR="00BC4304" w:rsidRDefault="00BC4304">
      <w:pPr>
        <w:spacing w:before="200"/>
      </w:pPr>
    </w:p>
    <w:p w14:paraId="105254F7" w14:textId="77777777" w:rsidR="00BC4304" w:rsidRDefault="00000000">
      <w:pPr>
        <w:pStyle w:val="Heading1"/>
        <w:pBdr>
          <w:bottom w:val="single" w:sz="10" w:space="4" w:color="C8A951"/>
        </w:pBdr>
      </w:pPr>
      <w:r>
        <w:t>Preamble &amp; Binding Agreement</w:t>
      </w:r>
    </w:p>
    <w:p w14:paraId="41923E0E" w14:textId="77777777" w:rsidR="00BC4304" w:rsidRDefault="00000000">
      <w:pPr>
        <w:spacing w:before="60" w:after="60"/>
      </w:pPr>
      <w:r>
        <w:rPr>
          <w:color w:val="3A3A3A"/>
        </w:rPr>
        <w:t xml:space="preserve">This Refund and Cancellation Policy (“Policy”) is a legally binding document governing all enrolments, programme fees, instalment arrangements, and cancellation requests made through the </w:t>
      </w:r>
      <w:proofErr w:type="spellStart"/>
      <w:r>
        <w:rPr>
          <w:color w:val="3A3A3A"/>
        </w:rPr>
        <w:t>Lawlit</w:t>
      </w:r>
      <w:proofErr w:type="spellEnd"/>
      <w:r>
        <w:rPr>
          <w:color w:val="3A3A3A"/>
        </w:rPr>
        <w:t xml:space="preserve"> platform operated at lawlit.in by </w:t>
      </w:r>
      <w:proofErr w:type="spellStart"/>
      <w:r>
        <w:rPr>
          <w:color w:val="3A3A3A"/>
        </w:rPr>
        <w:t>Lawlit</w:t>
      </w:r>
      <w:proofErr w:type="spellEnd"/>
      <w:r>
        <w:rPr>
          <w:color w:val="3A3A3A"/>
        </w:rPr>
        <w:t xml:space="preserve"> Inc. (“</w:t>
      </w:r>
      <w:proofErr w:type="spellStart"/>
      <w:r>
        <w:rPr>
          <w:color w:val="3A3A3A"/>
        </w:rPr>
        <w:t>Lawlit</w:t>
      </w:r>
      <w:proofErr w:type="spellEnd"/>
      <w:r>
        <w:rPr>
          <w:color w:val="3A3A3A"/>
        </w:rPr>
        <w:t>,” “we,” “us,” or “our”).</w:t>
      </w:r>
    </w:p>
    <w:p w14:paraId="22636D03" w14:textId="77777777" w:rsidR="00BC4304" w:rsidRDefault="00BC4304">
      <w:pPr>
        <w:spacing w:before="60"/>
      </w:pPr>
    </w:p>
    <w:p w14:paraId="5B59E255" w14:textId="77777777" w:rsidR="00BC4304" w:rsidRDefault="00000000">
      <w:pPr>
        <w:spacing w:before="60" w:after="60"/>
      </w:pPr>
      <w:r>
        <w:rPr>
          <w:color w:val="3A3A3A"/>
        </w:rPr>
        <w:t xml:space="preserve">By </w:t>
      </w:r>
      <w:proofErr w:type="gramStart"/>
      <w:r>
        <w:rPr>
          <w:color w:val="3A3A3A"/>
        </w:rPr>
        <w:t>submitting an application</w:t>
      </w:r>
      <w:proofErr w:type="gramEnd"/>
      <w:r>
        <w:rPr>
          <w:color w:val="3A3A3A"/>
        </w:rPr>
        <w:t xml:space="preserve">, accepting an offer letter, making any payment to </w:t>
      </w:r>
      <w:proofErr w:type="spellStart"/>
      <w:r>
        <w:rPr>
          <w:color w:val="3A3A3A"/>
        </w:rPr>
        <w:t>Lawlit</w:t>
      </w:r>
      <w:proofErr w:type="spellEnd"/>
      <w:r>
        <w:rPr>
          <w:color w:val="3A3A3A"/>
        </w:rPr>
        <w:t xml:space="preserve">, or accessing any programme materials, the student (“you” or “the </w:t>
      </w:r>
      <w:proofErr w:type="gramStart"/>
      <w:r>
        <w:rPr>
          <w:color w:val="3A3A3A"/>
        </w:rPr>
        <w:t>Student</w:t>
      </w:r>
      <w:proofErr w:type="gramEnd"/>
      <w:r>
        <w:rPr>
          <w:color w:val="3A3A3A"/>
        </w:rPr>
        <w:t>”) unconditionally accepts and agrees to be bound by this Policy in its entirety. If you do not accept these terms, you must not proceed with enrolment or payment.</w:t>
      </w:r>
    </w:p>
    <w:p w14:paraId="224CB358" w14:textId="77777777" w:rsidR="00BC4304" w:rsidRDefault="00BC4304">
      <w:pPr>
        <w:spacing w:before="60"/>
      </w:pPr>
    </w:p>
    <w:p w14:paraId="7388EFFD" w14:textId="77777777" w:rsidR="00BC4304" w:rsidRDefault="00000000">
      <w:pPr>
        <w:spacing w:before="60" w:after="60"/>
      </w:pPr>
      <w:r>
        <w:rPr>
          <w:color w:val="3A3A3A"/>
        </w:rPr>
        <w:t>This Policy is published in compliance with the Consumer Protection Act, 2019, the Information Technology (Intermediary Guidelines and Digital Media Ethics Code) Rules, 2021, and all other applicable laws of India. In the event of any inconsistency between this Policy and a separately executed Income Share Agreement (“ISA”), the ISA shall govern.</w:t>
      </w:r>
    </w:p>
    <w:p w14:paraId="676B9F84" w14:textId="77777777" w:rsidR="00BC4304" w:rsidRDefault="00BC4304">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C4304" w14:paraId="17080ED6" w14:textId="77777777">
        <w:tc>
          <w:tcPr>
            <w:tcW w:w="9026" w:type="dxa"/>
            <w:tcBorders>
              <w:top w:val="single" w:sz="1" w:space="0" w:color="C8A951"/>
              <w:left w:val="single" w:sz="1" w:space="0" w:color="C8A951"/>
              <w:bottom w:val="single" w:sz="1" w:space="0" w:color="C8A951"/>
              <w:right w:val="single" w:sz="1" w:space="0" w:color="C8A951"/>
            </w:tcBorders>
            <w:shd w:val="clear" w:color="auto" w:fill="FDF8EC"/>
            <w:tcMar>
              <w:top w:w="120" w:type="dxa"/>
              <w:left w:w="180" w:type="dxa"/>
              <w:bottom w:w="120" w:type="dxa"/>
              <w:right w:w="180" w:type="dxa"/>
            </w:tcMar>
          </w:tcPr>
          <w:p w14:paraId="26D3664B" w14:textId="77777777" w:rsidR="00BC4304" w:rsidRDefault="00000000">
            <w:pPr>
              <w:spacing w:before="40" w:after="40"/>
            </w:pPr>
            <w:r>
              <w:rPr>
                <w:i/>
                <w:iCs/>
                <w:color w:val="6B4F00"/>
                <w:sz w:val="20"/>
                <w:szCs w:val="20"/>
              </w:rPr>
              <w:t xml:space="preserve">IMPORTANT NOTICE: </w:t>
            </w:r>
            <w:proofErr w:type="spellStart"/>
            <w:r>
              <w:rPr>
                <w:i/>
                <w:iCs/>
                <w:color w:val="6B4F00"/>
                <w:sz w:val="20"/>
                <w:szCs w:val="20"/>
              </w:rPr>
              <w:t>Lawlit</w:t>
            </w:r>
            <w:proofErr w:type="spellEnd"/>
            <w:r>
              <w:rPr>
                <w:i/>
                <w:iCs/>
                <w:color w:val="6B4F00"/>
                <w:sz w:val="20"/>
                <w:szCs w:val="20"/>
              </w:rPr>
              <w:t xml:space="preserve"> operates an education programme that requires substantial advance resource allocation — including instructor scheduling, cohort preparation, platform infrastructure, third-party licensing, and administrative overhead — from the moment an offer letter is issued. Accordingly, the refund entitlements under this Policy are strictly limited. Students are strongly urged to conduct thorough due diligence before completing enrolment.</w:t>
            </w:r>
          </w:p>
        </w:tc>
      </w:tr>
    </w:tbl>
    <w:p w14:paraId="2B2DD513" w14:textId="77777777" w:rsidR="00BC4304" w:rsidRDefault="00BC4304">
      <w:pPr>
        <w:spacing w:before="120"/>
      </w:pPr>
    </w:p>
    <w:p w14:paraId="18540FA0" w14:textId="77777777" w:rsidR="00BC4304" w:rsidRDefault="00000000">
      <w:pPr>
        <w:pStyle w:val="Heading1"/>
        <w:pBdr>
          <w:bottom w:val="single" w:sz="10" w:space="4" w:color="C8A951"/>
        </w:pBdr>
      </w:pPr>
      <w:r>
        <w:t>1.  Programme Fee Structure</w:t>
      </w:r>
    </w:p>
    <w:p w14:paraId="6BE818CE" w14:textId="77777777" w:rsidR="00BC4304" w:rsidRDefault="00000000">
      <w:pPr>
        <w:spacing w:before="60" w:after="60"/>
      </w:pPr>
      <w:proofErr w:type="spellStart"/>
      <w:r>
        <w:rPr>
          <w:color w:val="3A3A3A"/>
        </w:rPr>
        <w:t>Lawlit</w:t>
      </w:r>
      <w:proofErr w:type="spellEnd"/>
      <w:r>
        <w:rPr>
          <w:color w:val="3A3A3A"/>
        </w:rPr>
        <w:t xml:space="preserve"> offers two fee models, described below. The applicable model for each cohort is specified in the offer letter issued to the admitted student.</w:t>
      </w:r>
    </w:p>
    <w:p w14:paraId="420C9311" w14:textId="77777777" w:rsidR="00BC4304" w:rsidRDefault="00BC4304">
      <w:pPr>
        <w:spacing w:before="60"/>
      </w:pPr>
    </w:p>
    <w:p w14:paraId="7772D34E" w14:textId="77777777" w:rsidR="00BC4304" w:rsidRDefault="00000000">
      <w:pPr>
        <w:pStyle w:val="Heading2"/>
      </w:pPr>
      <w:proofErr w:type="gramStart"/>
      <w:r>
        <w:t>1.1  Upfront</w:t>
      </w:r>
      <w:proofErr w:type="gramEnd"/>
      <w:r>
        <w:t xml:space="preserve"> Fee Model</w:t>
      </w:r>
    </w:p>
    <w:p w14:paraId="0B215944" w14:textId="77777777" w:rsidR="00BC4304" w:rsidRDefault="00000000">
      <w:pPr>
        <w:spacing w:before="60" w:after="60"/>
      </w:pPr>
      <w:r>
        <w:rPr>
          <w:color w:val="3A3A3A"/>
        </w:rPr>
        <w:t>Certain open-enrolment cohorts and certificate programmes require partial or full payment of the programme fee prior to or upon admission. All fee amounts, instalments, and payment deadlines are stated in the individual offer letter. Where fees are paid in instalments, each instalment becomes non-refundable and non-creditable upon the date it falls due, regardless of whether the student has commenced or withdrawn.</w:t>
      </w:r>
    </w:p>
    <w:p w14:paraId="196A37FC" w14:textId="77777777" w:rsidR="00BC4304" w:rsidRDefault="00BC4304">
      <w:pPr>
        <w:spacing w:before="60"/>
      </w:pPr>
    </w:p>
    <w:p w14:paraId="1AF26D74" w14:textId="77777777" w:rsidR="00BC4304" w:rsidRDefault="00000000">
      <w:pPr>
        <w:pStyle w:val="Heading2"/>
      </w:pPr>
      <w:proofErr w:type="gramStart"/>
      <w:r>
        <w:t>1.2  Deferred</w:t>
      </w:r>
      <w:proofErr w:type="gramEnd"/>
      <w:r>
        <w:t xml:space="preserve"> Tuition Model (Income Share / Success Fee)</w:t>
      </w:r>
    </w:p>
    <w:p w14:paraId="615DC9BD" w14:textId="77777777" w:rsidR="00BC4304" w:rsidRDefault="00000000">
      <w:pPr>
        <w:spacing w:before="60" w:after="60"/>
      </w:pPr>
      <w:r>
        <w:rPr>
          <w:color w:val="3A3A3A"/>
        </w:rPr>
        <w:t xml:space="preserve">Some cohorts operate under a deferred tuition arrangement under which no upfront programme fee is charged. A success fee becomes payable only upon the student’s placement in a qualifying legal role, as defined in the executed ISA. Students on this model are not entitled to any refund </w:t>
      </w:r>
      <w:r>
        <w:rPr>
          <w:color w:val="3A3A3A"/>
        </w:rPr>
        <w:lastRenderedPageBreak/>
        <w:t>as no upfront fee is collected. All disputes concerning success fee triggers, calculations, or waivers shall be resolved exclusively under the ISA.</w:t>
      </w:r>
    </w:p>
    <w:p w14:paraId="66114641" w14:textId="77777777" w:rsidR="00BC4304" w:rsidRDefault="00BC4304">
      <w:pPr>
        <w:spacing w:before="60"/>
      </w:pPr>
    </w:p>
    <w:p w14:paraId="3FC10959" w14:textId="77777777" w:rsidR="00BC4304" w:rsidRDefault="00000000">
      <w:pPr>
        <w:pStyle w:val="Heading2"/>
      </w:pPr>
      <w:proofErr w:type="gramStart"/>
      <w:r>
        <w:t>1.3  Non</w:t>
      </w:r>
      <w:proofErr w:type="gramEnd"/>
      <w:r>
        <w:t>-Refundable Components (All Models)</w:t>
      </w:r>
    </w:p>
    <w:p w14:paraId="6B907E16" w14:textId="77777777" w:rsidR="00BC4304" w:rsidRDefault="00000000">
      <w:pPr>
        <w:spacing w:before="60" w:after="60"/>
      </w:pPr>
      <w:r>
        <w:rPr>
          <w:color w:val="3A3A3A"/>
        </w:rPr>
        <w:t>The following amounts are non-refundable and non-creditable in all circumstances, without exception:</w:t>
      </w:r>
    </w:p>
    <w:p w14:paraId="2141FB45" w14:textId="77777777" w:rsidR="00BC4304" w:rsidRDefault="00000000">
      <w:pPr>
        <w:pStyle w:val="ListParagraph"/>
        <w:numPr>
          <w:ilvl w:val="0"/>
          <w:numId w:val="2"/>
        </w:numPr>
        <w:spacing w:before="40" w:after="40"/>
      </w:pPr>
      <w:r>
        <w:rPr>
          <w:color w:val="3A3A3A"/>
        </w:rPr>
        <w:t xml:space="preserve">Application processing fees and assessment or screening fees, </w:t>
      </w:r>
      <w:proofErr w:type="gramStart"/>
      <w:r>
        <w:rPr>
          <w:color w:val="3A3A3A"/>
        </w:rPr>
        <w:t>whether or not</w:t>
      </w:r>
      <w:proofErr w:type="gramEnd"/>
      <w:r>
        <w:rPr>
          <w:color w:val="3A3A3A"/>
        </w:rPr>
        <w:t xml:space="preserve"> the applicant is admitted.</w:t>
      </w:r>
    </w:p>
    <w:p w14:paraId="7B51417B" w14:textId="77777777" w:rsidR="00BC4304" w:rsidRDefault="00000000">
      <w:pPr>
        <w:pStyle w:val="ListParagraph"/>
        <w:numPr>
          <w:ilvl w:val="0"/>
          <w:numId w:val="2"/>
        </w:numPr>
        <w:spacing w:before="40" w:after="40"/>
      </w:pPr>
      <w:r>
        <w:rPr>
          <w:color w:val="3A3A3A"/>
        </w:rPr>
        <w:t xml:space="preserve">Enrolment confirmation deposits, </w:t>
      </w:r>
      <w:proofErr w:type="gramStart"/>
      <w:r>
        <w:rPr>
          <w:color w:val="3A3A3A"/>
        </w:rPr>
        <w:t>whether or not</w:t>
      </w:r>
      <w:proofErr w:type="gramEnd"/>
      <w:r>
        <w:rPr>
          <w:color w:val="3A3A3A"/>
        </w:rPr>
        <w:t xml:space="preserve"> the student commences the programme.</w:t>
      </w:r>
    </w:p>
    <w:p w14:paraId="774A0D75" w14:textId="77777777" w:rsidR="00BC4304" w:rsidRDefault="00000000">
      <w:pPr>
        <w:pStyle w:val="ListParagraph"/>
        <w:numPr>
          <w:ilvl w:val="0"/>
          <w:numId w:val="2"/>
        </w:numPr>
        <w:spacing w:before="40" w:after="40"/>
      </w:pPr>
      <w:r>
        <w:rPr>
          <w:color w:val="3A3A3A"/>
        </w:rPr>
        <w:t xml:space="preserve">Third-party examination, certification, bar-preparation, or accreditation fees paid by </w:t>
      </w:r>
      <w:proofErr w:type="spellStart"/>
      <w:r>
        <w:rPr>
          <w:color w:val="3A3A3A"/>
        </w:rPr>
        <w:t>Lawlit</w:t>
      </w:r>
      <w:proofErr w:type="spellEnd"/>
      <w:r>
        <w:rPr>
          <w:color w:val="3A3A3A"/>
        </w:rPr>
        <w:t xml:space="preserve"> on the student’s behalf.</w:t>
      </w:r>
    </w:p>
    <w:p w14:paraId="6EF3326B" w14:textId="77777777" w:rsidR="00BC4304" w:rsidRDefault="00000000">
      <w:pPr>
        <w:pStyle w:val="ListParagraph"/>
        <w:numPr>
          <w:ilvl w:val="0"/>
          <w:numId w:val="2"/>
        </w:numPr>
        <w:spacing w:before="40" w:after="40"/>
      </w:pPr>
      <w:r>
        <w:rPr>
          <w:color w:val="3A3A3A"/>
        </w:rPr>
        <w:t>Digital resource access fees, library subscriptions, or platform activation charges once activated.</w:t>
      </w:r>
    </w:p>
    <w:p w14:paraId="02E228E3" w14:textId="77777777" w:rsidR="00BC4304" w:rsidRDefault="00000000">
      <w:pPr>
        <w:pStyle w:val="ListParagraph"/>
        <w:numPr>
          <w:ilvl w:val="0"/>
          <w:numId w:val="2"/>
        </w:numPr>
        <w:spacing w:before="40" w:after="40"/>
      </w:pPr>
      <w:r>
        <w:rPr>
          <w:color w:val="3A3A3A"/>
        </w:rPr>
        <w:t xml:space="preserve">Any instalment that has fallen due prior to the date of a cancellation request, </w:t>
      </w:r>
      <w:proofErr w:type="gramStart"/>
      <w:r>
        <w:rPr>
          <w:color w:val="3A3A3A"/>
        </w:rPr>
        <w:t>whether or not</w:t>
      </w:r>
      <w:proofErr w:type="gramEnd"/>
      <w:r>
        <w:rPr>
          <w:color w:val="3A3A3A"/>
        </w:rPr>
        <w:t xml:space="preserve"> the student has used the corresponding services.</w:t>
      </w:r>
    </w:p>
    <w:p w14:paraId="3947433D" w14:textId="77777777" w:rsidR="00BC4304" w:rsidRDefault="00000000">
      <w:pPr>
        <w:pStyle w:val="ListParagraph"/>
        <w:numPr>
          <w:ilvl w:val="0"/>
          <w:numId w:val="2"/>
        </w:numPr>
        <w:spacing w:before="40" w:after="40"/>
      </w:pPr>
      <w:r>
        <w:rPr>
          <w:color w:val="3A3A3A"/>
        </w:rPr>
        <w:t>Charges for one-to-one mentorship sessions or placement-coaching sessions already scheduled or delivered.</w:t>
      </w:r>
    </w:p>
    <w:p w14:paraId="7DEB4C88" w14:textId="77777777" w:rsidR="00BC4304" w:rsidRDefault="00BC4304">
      <w:pPr>
        <w:spacing w:before="120"/>
      </w:pPr>
    </w:p>
    <w:p w14:paraId="46E3F84A" w14:textId="77777777" w:rsidR="00BC4304" w:rsidRDefault="00000000">
      <w:pPr>
        <w:pStyle w:val="Heading1"/>
        <w:pBdr>
          <w:bottom w:val="single" w:sz="10" w:space="4" w:color="C8A951"/>
        </w:pBdr>
      </w:pPr>
      <w:r>
        <w:t>2.  General No-Refund Rule</w:t>
      </w:r>
    </w:p>
    <w:p w14:paraId="32B90487" w14:textId="77777777" w:rsidR="00BC4304" w:rsidRDefault="00000000">
      <w:pPr>
        <w:spacing w:before="60" w:after="60"/>
      </w:pPr>
      <w:r>
        <w:rPr>
          <w:color w:val="3A3A3A"/>
        </w:rPr>
        <w:t xml:space="preserve">Subject only to the narrow exceptions in Clause 3 (Tuition Credit) and Clause 5 (Deferral) below, all programme fees paid to </w:t>
      </w:r>
      <w:proofErr w:type="spellStart"/>
      <w:r>
        <w:rPr>
          <w:color w:val="3A3A3A"/>
        </w:rPr>
        <w:t>Lawlit</w:t>
      </w:r>
      <w:proofErr w:type="spellEnd"/>
      <w:r>
        <w:rPr>
          <w:color w:val="3A3A3A"/>
        </w:rPr>
        <w:t xml:space="preserve"> are non-refundable. No refund shall be issued:</w:t>
      </w:r>
    </w:p>
    <w:p w14:paraId="7EEF7A1E" w14:textId="77777777" w:rsidR="00BC4304" w:rsidRDefault="00000000">
      <w:pPr>
        <w:pStyle w:val="ListParagraph"/>
        <w:numPr>
          <w:ilvl w:val="0"/>
          <w:numId w:val="2"/>
        </w:numPr>
        <w:spacing w:before="40" w:after="40"/>
      </w:pPr>
      <w:r>
        <w:rPr>
          <w:color w:val="3A3A3A"/>
        </w:rPr>
        <w:t>at any time after payment is made, regardless of how far in advance of cohort start;</w:t>
      </w:r>
    </w:p>
    <w:p w14:paraId="442CD140" w14:textId="77777777" w:rsidR="00BC4304" w:rsidRDefault="00000000">
      <w:pPr>
        <w:pStyle w:val="ListParagraph"/>
        <w:numPr>
          <w:ilvl w:val="0"/>
          <w:numId w:val="2"/>
        </w:numPr>
        <w:spacing w:before="40" w:after="40"/>
      </w:pPr>
      <w:r>
        <w:rPr>
          <w:color w:val="3A3A3A"/>
        </w:rPr>
        <w:t>on account of a change in the student’s personal, professional, or financial circumstances;</w:t>
      </w:r>
    </w:p>
    <w:p w14:paraId="066463F0" w14:textId="77777777" w:rsidR="00BC4304" w:rsidRDefault="00000000">
      <w:pPr>
        <w:pStyle w:val="ListParagraph"/>
        <w:numPr>
          <w:ilvl w:val="0"/>
          <w:numId w:val="2"/>
        </w:numPr>
        <w:spacing w:before="40" w:after="40"/>
      </w:pPr>
      <w:r>
        <w:rPr>
          <w:color w:val="3A3A3A"/>
        </w:rPr>
        <w:t>on account of dissatisfaction with course content, delivery format, instructor, or learning outcomes;</w:t>
      </w:r>
    </w:p>
    <w:p w14:paraId="545A9FF0" w14:textId="77777777" w:rsidR="00BC4304" w:rsidRDefault="00000000">
      <w:pPr>
        <w:pStyle w:val="ListParagraph"/>
        <w:numPr>
          <w:ilvl w:val="0"/>
          <w:numId w:val="2"/>
        </w:numPr>
        <w:spacing w:before="40" w:after="40"/>
      </w:pPr>
      <w:r>
        <w:rPr>
          <w:color w:val="3A3A3A"/>
        </w:rPr>
        <w:t>on account of failure to secure employment or a qualifying placement;</w:t>
      </w:r>
    </w:p>
    <w:p w14:paraId="33B6AB68" w14:textId="77777777" w:rsidR="00BC4304" w:rsidRDefault="00000000">
      <w:pPr>
        <w:pStyle w:val="ListParagraph"/>
        <w:numPr>
          <w:ilvl w:val="0"/>
          <w:numId w:val="2"/>
        </w:numPr>
        <w:spacing w:before="40" w:after="40"/>
      </w:pPr>
      <w:r>
        <w:rPr>
          <w:color w:val="3A3A3A"/>
        </w:rPr>
        <w:t>on account of health, travel, family, or other personal reasons;</w:t>
      </w:r>
    </w:p>
    <w:p w14:paraId="01DA79DF" w14:textId="77777777" w:rsidR="00BC4304" w:rsidRDefault="00000000">
      <w:pPr>
        <w:pStyle w:val="ListParagraph"/>
        <w:numPr>
          <w:ilvl w:val="0"/>
          <w:numId w:val="2"/>
        </w:numPr>
        <w:spacing w:before="40" w:after="40"/>
      </w:pPr>
      <w:r>
        <w:rPr>
          <w:color w:val="3A3A3A"/>
        </w:rPr>
        <w:t>where a student has not used, accessed, or engaged with programme materials; or</w:t>
      </w:r>
    </w:p>
    <w:p w14:paraId="3581FF42" w14:textId="77777777" w:rsidR="00BC4304" w:rsidRDefault="00000000">
      <w:pPr>
        <w:pStyle w:val="ListParagraph"/>
        <w:numPr>
          <w:ilvl w:val="0"/>
          <w:numId w:val="2"/>
        </w:numPr>
        <w:spacing w:before="40" w:after="40"/>
      </w:pPr>
      <w:r>
        <w:rPr>
          <w:color w:val="3A3A3A"/>
        </w:rPr>
        <w:t xml:space="preserve">where the student cancels after the cohort </w:t>
      </w:r>
      <w:proofErr w:type="gramStart"/>
      <w:r>
        <w:rPr>
          <w:color w:val="3A3A3A"/>
        </w:rPr>
        <w:t>has</w:t>
      </w:r>
      <w:proofErr w:type="gramEnd"/>
      <w:r>
        <w:rPr>
          <w:color w:val="3A3A3A"/>
        </w:rPr>
        <w:t xml:space="preserve"> commenced, for any reason whatsoever.</w:t>
      </w:r>
    </w:p>
    <w:p w14:paraId="572A5700" w14:textId="77777777" w:rsidR="00BC4304" w:rsidRDefault="00BC4304">
      <w:pPr>
        <w:spacing w:before="60"/>
      </w:pPr>
    </w:p>
    <w:p w14:paraId="0E588B8C" w14:textId="77777777" w:rsidR="00BC4304" w:rsidRDefault="00000000">
      <w:pPr>
        <w:spacing w:before="60" w:after="60"/>
      </w:pPr>
      <w:r>
        <w:rPr>
          <w:color w:val="3A3A3A"/>
        </w:rPr>
        <w:t>The foregoing list is illustrative and not exhaustive. The burden of proof of any exception rests entirely with the student.</w:t>
      </w:r>
    </w:p>
    <w:p w14:paraId="75EE2697" w14:textId="77777777" w:rsidR="00BC4304" w:rsidRDefault="00BC4304">
      <w:pPr>
        <w:spacing w:before="120"/>
      </w:pPr>
    </w:p>
    <w:p w14:paraId="4C4B598E" w14:textId="77777777" w:rsidR="00BC4304" w:rsidRDefault="00000000">
      <w:pPr>
        <w:pStyle w:val="Heading1"/>
        <w:pBdr>
          <w:bottom w:val="single" w:sz="10" w:space="4" w:color="C8A951"/>
        </w:pBdr>
      </w:pPr>
      <w:r>
        <w:t>3.  Limited Tuition Credit — Pre-Commencement Only</w:t>
      </w:r>
    </w:p>
    <w:p w14:paraId="01B7693E" w14:textId="77777777" w:rsidR="00BC4304" w:rsidRDefault="00000000">
      <w:pPr>
        <w:spacing w:before="60" w:after="60"/>
      </w:pPr>
      <w:r>
        <w:rPr>
          <w:color w:val="3A3A3A"/>
        </w:rPr>
        <w:t xml:space="preserve">Notwithstanding the General No-Refund Rule in Clause 2, a non-cash, non-transferable tuition credit may be issued in the limited circumstances described in this Clause 3. A tuition credit is not a refund; it is a partial offset against the fee of a future </w:t>
      </w:r>
      <w:proofErr w:type="spellStart"/>
      <w:r>
        <w:rPr>
          <w:color w:val="3A3A3A"/>
        </w:rPr>
        <w:t>Lawlit</w:t>
      </w:r>
      <w:proofErr w:type="spellEnd"/>
      <w:r>
        <w:rPr>
          <w:color w:val="3A3A3A"/>
        </w:rPr>
        <w:t xml:space="preserve"> programme. No cash payment will be made under any tuition credit arrangement.</w:t>
      </w:r>
    </w:p>
    <w:p w14:paraId="744D1C07" w14:textId="77777777" w:rsidR="00BC4304" w:rsidRDefault="00BC4304">
      <w:pPr>
        <w:spacing w:before="60"/>
      </w:pPr>
    </w:p>
    <w:p w14:paraId="4D3934B3" w14:textId="77777777" w:rsidR="00BC4304" w:rsidRDefault="00000000">
      <w:pPr>
        <w:pStyle w:val="Heading2"/>
      </w:pPr>
      <w:proofErr w:type="gramStart"/>
      <w:r>
        <w:t>3.1  Tuition</w:t>
      </w:r>
      <w:proofErr w:type="gramEnd"/>
      <w:r>
        <w:t xml:space="preserve"> Credit Schedule</w:t>
      </w:r>
    </w:p>
    <w:p w14:paraId="26A7A70C" w14:textId="77777777" w:rsidR="00BC4304" w:rsidRDefault="00000000">
      <w:pPr>
        <w:spacing w:before="60" w:after="60"/>
      </w:pPr>
      <w:r>
        <w:rPr>
          <w:color w:val="3A3A3A"/>
        </w:rPr>
        <w:t>A student who has paid an upfront programme fee and submits a written cancellation request before cohort commencement may be eligible for a tuition credit as follows:</w:t>
      </w:r>
    </w:p>
    <w:p w14:paraId="08C0400B" w14:textId="77777777" w:rsidR="00BC4304" w:rsidRDefault="00BC430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26"/>
      </w:tblGrid>
      <w:tr w:rsidR="00BC4304" w14:paraId="1F23EB2A" w14:textId="77777777">
        <w:trPr>
          <w:tblHeader/>
        </w:trPr>
        <w:tc>
          <w:tcPr>
            <w:tcW w:w="3800" w:type="dxa"/>
            <w:tcBorders>
              <w:top w:val="single" w:sz="1" w:space="0" w:color="D0D6E8"/>
              <w:left w:val="single" w:sz="1" w:space="0" w:color="D0D6E8"/>
              <w:bottom w:val="single" w:sz="1" w:space="0" w:color="D0D6E8"/>
              <w:right w:val="single" w:sz="1" w:space="0" w:color="D0D6E8"/>
            </w:tcBorders>
            <w:shd w:val="clear" w:color="auto" w:fill="1A2B6B"/>
            <w:tcMar>
              <w:top w:w="100" w:type="dxa"/>
              <w:left w:w="120" w:type="dxa"/>
              <w:bottom w:w="100" w:type="dxa"/>
              <w:right w:w="120" w:type="dxa"/>
            </w:tcMar>
          </w:tcPr>
          <w:p w14:paraId="5265A0D0" w14:textId="77777777" w:rsidR="00BC4304" w:rsidRDefault="00000000">
            <w:r>
              <w:rPr>
                <w:b/>
                <w:bCs/>
                <w:color w:val="FFFFFF"/>
                <w:sz w:val="20"/>
                <w:szCs w:val="20"/>
              </w:rPr>
              <w:lastRenderedPageBreak/>
              <w:t>Scenario / Timing</w:t>
            </w:r>
          </w:p>
        </w:tc>
        <w:tc>
          <w:tcPr>
            <w:tcW w:w="5226" w:type="dxa"/>
            <w:tcBorders>
              <w:top w:val="single" w:sz="1" w:space="0" w:color="D0D6E8"/>
              <w:left w:val="single" w:sz="1" w:space="0" w:color="D0D6E8"/>
              <w:bottom w:val="single" w:sz="1" w:space="0" w:color="D0D6E8"/>
              <w:right w:val="single" w:sz="1" w:space="0" w:color="D0D6E8"/>
            </w:tcBorders>
            <w:shd w:val="clear" w:color="auto" w:fill="1A2B6B"/>
            <w:tcMar>
              <w:top w:w="100" w:type="dxa"/>
              <w:left w:w="120" w:type="dxa"/>
              <w:bottom w:w="100" w:type="dxa"/>
              <w:right w:w="120" w:type="dxa"/>
            </w:tcMar>
          </w:tcPr>
          <w:p w14:paraId="1FD73BF5" w14:textId="77777777" w:rsidR="00BC4304" w:rsidRDefault="00000000">
            <w:r>
              <w:rPr>
                <w:b/>
                <w:bCs/>
                <w:color w:val="FFFFFF"/>
                <w:sz w:val="20"/>
                <w:szCs w:val="20"/>
              </w:rPr>
              <w:t>Refund / Credit Outcome</w:t>
            </w:r>
          </w:p>
        </w:tc>
      </w:tr>
      <w:tr w:rsidR="00BC4304" w14:paraId="028382DC" w14:textId="77777777">
        <w:tc>
          <w:tcPr>
            <w:tcW w:w="3800"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400176D6" w14:textId="77777777" w:rsidR="00BC4304" w:rsidRDefault="00000000">
            <w:r>
              <w:rPr>
                <w:color w:val="3A3A3A"/>
                <w:sz w:val="20"/>
                <w:szCs w:val="20"/>
              </w:rPr>
              <w:t>Pre-commencement — &gt; 30 days before start</w:t>
            </w:r>
          </w:p>
        </w:tc>
        <w:tc>
          <w:tcPr>
            <w:tcW w:w="5226"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1338BBA6" w14:textId="77777777" w:rsidR="00BC4304" w:rsidRDefault="00000000">
            <w:r>
              <w:rPr>
                <w:color w:val="3A3A3A"/>
                <w:sz w:val="20"/>
                <w:szCs w:val="20"/>
              </w:rPr>
              <w:t>No cash refund. Tuition credit (50%) valid 12 months, subject to conditions in Clause 3.1.</w:t>
            </w:r>
          </w:p>
        </w:tc>
      </w:tr>
      <w:tr w:rsidR="00BC4304" w14:paraId="4F0F70B4" w14:textId="77777777">
        <w:tc>
          <w:tcPr>
            <w:tcW w:w="3800"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0A3FE434" w14:textId="77777777" w:rsidR="00BC4304" w:rsidRDefault="00000000">
            <w:r>
              <w:rPr>
                <w:color w:val="3A3A3A"/>
                <w:sz w:val="20"/>
                <w:szCs w:val="20"/>
              </w:rPr>
              <w:t>Pre-commencement — 15–30 days before start</w:t>
            </w:r>
          </w:p>
        </w:tc>
        <w:tc>
          <w:tcPr>
            <w:tcW w:w="5226"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50224DCC" w14:textId="77777777" w:rsidR="00BC4304" w:rsidRDefault="00000000">
            <w:r>
              <w:rPr>
                <w:color w:val="3A3A3A"/>
                <w:sz w:val="20"/>
                <w:szCs w:val="20"/>
              </w:rPr>
              <w:t>No cash refund. One-time deferral to next cohort permitted (Clause 5). No credit issued.</w:t>
            </w:r>
          </w:p>
        </w:tc>
      </w:tr>
      <w:tr w:rsidR="00BC4304" w14:paraId="0CAA4A73" w14:textId="77777777">
        <w:tc>
          <w:tcPr>
            <w:tcW w:w="3800"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1E637FA3" w14:textId="77777777" w:rsidR="00BC4304" w:rsidRDefault="00000000">
            <w:r>
              <w:rPr>
                <w:color w:val="3A3A3A"/>
                <w:sz w:val="20"/>
                <w:szCs w:val="20"/>
              </w:rPr>
              <w:t>Pre-commencement — 8–14 days before start</w:t>
            </w:r>
          </w:p>
        </w:tc>
        <w:tc>
          <w:tcPr>
            <w:tcW w:w="5226"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6A244650" w14:textId="77777777" w:rsidR="00BC4304" w:rsidRDefault="00000000">
            <w:r>
              <w:rPr>
                <w:color w:val="3A3A3A"/>
                <w:sz w:val="20"/>
                <w:szCs w:val="20"/>
              </w:rPr>
              <w:t>No refund and no deferral. Enrolment fee fully forfeited.</w:t>
            </w:r>
          </w:p>
        </w:tc>
      </w:tr>
      <w:tr w:rsidR="00BC4304" w14:paraId="2DC93B31" w14:textId="77777777">
        <w:tc>
          <w:tcPr>
            <w:tcW w:w="3800"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7BF6DA04" w14:textId="77777777" w:rsidR="00BC4304" w:rsidRDefault="00000000">
            <w:r>
              <w:rPr>
                <w:color w:val="3A3A3A"/>
                <w:sz w:val="20"/>
                <w:szCs w:val="20"/>
              </w:rPr>
              <w:t>Pre-commencement — 0–7 days before start</w:t>
            </w:r>
          </w:p>
        </w:tc>
        <w:tc>
          <w:tcPr>
            <w:tcW w:w="5226"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4816CD27" w14:textId="77777777" w:rsidR="00BC4304" w:rsidRDefault="00000000">
            <w:r>
              <w:rPr>
                <w:color w:val="3A3A3A"/>
                <w:sz w:val="20"/>
                <w:szCs w:val="20"/>
              </w:rPr>
              <w:t>No refund and no deferral. All fees fully forfeited.</w:t>
            </w:r>
          </w:p>
        </w:tc>
      </w:tr>
      <w:tr w:rsidR="00BC4304" w14:paraId="37BE4E70" w14:textId="77777777">
        <w:tc>
          <w:tcPr>
            <w:tcW w:w="3800"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1BF0A177" w14:textId="77777777" w:rsidR="00BC4304" w:rsidRDefault="00000000">
            <w:r>
              <w:rPr>
                <w:color w:val="3A3A3A"/>
                <w:sz w:val="20"/>
                <w:szCs w:val="20"/>
              </w:rPr>
              <w:t>Post-commencement — any point after Day 1</w:t>
            </w:r>
          </w:p>
        </w:tc>
        <w:tc>
          <w:tcPr>
            <w:tcW w:w="5226"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796F23D3" w14:textId="77777777" w:rsidR="00BC4304" w:rsidRDefault="00000000">
            <w:r>
              <w:rPr>
                <w:color w:val="3A3A3A"/>
                <w:sz w:val="20"/>
                <w:szCs w:val="20"/>
              </w:rPr>
              <w:t>No refund, no credit, no deferral under any circumstances.</w:t>
            </w:r>
          </w:p>
        </w:tc>
      </w:tr>
      <w:tr w:rsidR="00BC4304" w14:paraId="60F5FCCD" w14:textId="77777777">
        <w:tc>
          <w:tcPr>
            <w:tcW w:w="3800"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1AD3F109" w14:textId="77777777" w:rsidR="00BC4304" w:rsidRDefault="00000000">
            <w:proofErr w:type="spellStart"/>
            <w:r>
              <w:rPr>
                <w:color w:val="3A3A3A"/>
                <w:sz w:val="20"/>
                <w:szCs w:val="20"/>
              </w:rPr>
              <w:t>Lawlit</w:t>
            </w:r>
            <w:proofErr w:type="spellEnd"/>
            <w:r>
              <w:rPr>
                <w:color w:val="3A3A3A"/>
                <w:sz w:val="20"/>
                <w:szCs w:val="20"/>
              </w:rPr>
              <w:t>-initiated cancellation (Force Majeure)</w:t>
            </w:r>
          </w:p>
        </w:tc>
        <w:tc>
          <w:tcPr>
            <w:tcW w:w="5226" w:type="dxa"/>
            <w:tcBorders>
              <w:top w:val="single" w:sz="1" w:space="0" w:color="D0D6E8"/>
              <w:left w:val="single" w:sz="1" w:space="0" w:color="D0D6E8"/>
              <w:bottom w:val="single" w:sz="1" w:space="0" w:color="D0D6E8"/>
              <w:right w:val="single" w:sz="1" w:space="0" w:color="D0D6E8"/>
            </w:tcBorders>
            <w:shd w:val="clear" w:color="auto" w:fill="FFFFFF"/>
            <w:tcMar>
              <w:top w:w="80" w:type="dxa"/>
              <w:left w:w="120" w:type="dxa"/>
              <w:bottom w:w="80" w:type="dxa"/>
              <w:right w:w="120" w:type="dxa"/>
            </w:tcMar>
          </w:tcPr>
          <w:p w14:paraId="4FD2B1A6" w14:textId="77777777" w:rsidR="00BC4304" w:rsidRDefault="00000000">
            <w:r>
              <w:rPr>
                <w:color w:val="3A3A3A"/>
                <w:sz w:val="20"/>
                <w:szCs w:val="20"/>
              </w:rPr>
              <w:t>Deferral to next cohort only. No cash or credit refund.</w:t>
            </w:r>
          </w:p>
        </w:tc>
      </w:tr>
      <w:tr w:rsidR="00BC4304" w14:paraId="48EC0B57" w14:textId="77777777">
        <w:tc>
          <w:tcPr>
            <w:tcW w:w="3800"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57F039F6" w14:textId="77777777" w:rsidR="00BC4304" w:rsidRDefault="00000000">
            <w:r>
              <w:rPr>
                <w:color w:val="3A3A3A"/>
                <w:sz w:val="20"/>
                <w:szCs w:val="20"/>
              </w:rPr>
              <w:t>Deferred Tuition / ISA students</w:t>
            </w:r>
          </w:p>
        </w:tc>
        <w:tc>
          <w:tcPr>
            <w:tcW w:w="5226" w:type="dxa"/>
            <w:tcBorders>
              <w:top w:val="single" w:sz="1" w:space="0" w:color="D0D6E8"/>
              <w:left w:val="single" w:sz="1" w:space="0" w:color="D0D6E8"/>
              <w:bottom w:val="single" w:sz="1" w:space="0" w:color="D0D6E8"/>
              <w:right w:val="single" w:sz="1" w:space="0" w:color="D0D6E8"/>
            </w:tcBorders>
            <w:shd w:val="clear" w:color="auto" w:fill="F0F3FA"/>
            <w:tcMar>
              <w:top w:w="80" w:type="dxa"/>
              <w:left w:w="120" w:type="dxa"/>
              <w:bottom w:w="80" w:type="dxa"/>
              <w:right w:w="120" w:type="dxa"/>
            </w:tcMar>
          </w:tcPr>
          <w:p w14:paraId="35EC6504" w14:textId="77777777" w:rsidR="00BC4304" w:rsidRDefault="00000000">
            <w:r>
              <w:rPr>
                <w:color w:val="3A3A3A"/>
                <w:sz w:val="20"/>
                <w:szCs w:val="20"/>
              </w:rPr>
              <w:t>No programme fee paid; refund not applicable. ISA governs success-fee disputes.</w:t>
            </w:r>
          </w:p>
        </w:tc>
      </w:tr>
    </w:tbl>
    <w:p w14:paraId="227BEDFC" w14:textId="77777777" w:rsidR="00BC4304" w:rsidRDefault="00BC4304">
      <w:pPr>
        <w:spacing w:before="120"/>
      </w:pPr>
    </w:p>
    <w:p w14:paraId="0765AD2C" w14:textId="77777777" w:rsidR="00BC4304" w:rsidRDefault="00000000">
      <w:pPr>
        <w:pStyle w:val="Heading1"/>
        <w:pBdr>
          <w:bottom w:val="single" w:sz="10" w:space="4" w:color="C8A951"/>
        </w:pBdr>
      </w:pPr>
      <w:r>
        <w:t>4.  Post-Commencement — Absolute No-Refund</w:t>
      </w:r>
    </w:p>
    <w:p w14:paraId="62B1358B" w14:textId="77777777" w:rsidR="00BC4304" w:rsidRDefault="00000000">
      <w:pPr>
        <w:spacing w:before="60" w:after="60"/>
      </w:pPr>
      <w:r>
        <w:rPr>
          <w:color w:val="3A3A3A"/>
        </w:rPr>
        <w:t>Once a cohort has commenced — defined as 09:00 IST on the published start date, irrespective of the student’s attendance or access — no refund, tuition credit, or deferral shall be available for any reason whatsoever.</w:t>
      </w:r>
    </w:p>
    <w:p w14:paraId="435FF70E" w14:textId="77777777" w:rsidR="00BC4304" w:rsidRDefault="00BC4304">
      <w:pPr>
        <w:spacing w:before="60"/>
      </w:pPr>
    </w:p>
    <w:p w14:paraId="53959A98" w14:textId="77777777" w:rsidR="00BC4304" w:rsidRDefault="00000000">
      <w:pPr>
        <w:spacing w:before="60" w:after="60"/>
      </w:pPr>
      <w:r>
        <w:rPr>
          <w:color w:val="3A3A3A"/>
        </w:rPr>
        <w:t>This absolute rule applies equally to:</w:t>
      </w:r>
    </w:p>
    <w:p w14:paraId="2D589023" w14:textId="77777777" w:rsidR="00BC4304" w:rsidRDefault="00000000">
      <w:pPr>
        <w:pStyle w:val="ListParagraph"/>
        <w:numPr>
          <w:ilvl w:val="0"/>
          <w:numId w:val="2"/>
        </w:numPr>
        <w:spacing w:before="40" w:after="40"/>
      </w:pPr>
      <w:r>
        <w:rPr>
          <w:color w:val="3A3A3A"/>
        </w:rPr>
        <w:t>students who withdraw voluntarily at any stage after commencement;</w:t>
      </w:r>
    </w:p>
    <w:p w14:paraId="399E5D2A" w14:textId="77777777" w:rsidR="00BC4304" w:rsidRDefault="00000000">
      <w:pPr>
        <w:pStyle w:val="ListParagraph"/>
        <w:numPr>
          <w:ilvl w:val="0"/>
          <w:numId w:val="2"/>
        </w:numPr>
        <w:spacing w:before="40" w:after="40"/>
      </w:pPr>
      <w:r>
        <w:rPr>
          <w:color w:val="3A3A3A"/>
        </w:rPr>
        <w:t>students who are suspended or dismissed for disciplinary or academic reasons;</w:t>
      </w:r>
    </w:p>
    <w:p w14:paraId="0B68F4EB" w14:textId="77777777" w:rsidR="00BC4304" w:rsidRDefault="00000000">
      <w:pPr>
        <w:pStyle w:val="ListParagraph"/>
        <w:numPr>
          <w:ilvl w:val="0"/>
          <w:numId w:val="2"/>
        </w:numPr>
        <w:spacing w:before="40" w:after="40"/>
      </w:pPr>
      <w:r>
        <w:rPr>
          <w:color w:val="3A3A3A"/>
        </w:rPr>
        <w:t>students who are unable to continue due to health, personal, family, or professional circumstances;</w:t>
      </w:r>
    </w:p>
    <w:p w14:paraId="54889AFC" w14:textId="77777777" w:rsidR="00BC4304" w:rsidRDefault="00000000">
      <w:pPr>
        <w:pStyle w:val="ListParagraph"/>
        <w:numPr>
          <w:ilvl w:val="0"/>
          <w:numId w:val="2"/>
        </w:numPr>
        <w:spacing w:before="40" w:after="40"/>
      </w:pPr>
      <w:r>
        <w:rPr>
          <w:color w:val="3A3A3A"/>
        </w:rPr>
        <w:t>students who have not accessed any materials after commencement; and</w:t>
      </w:r>
    </w:p>
    <w:p w14:paraId="17AE978E" w14:textId="77777777" w:rsidR="00BC4304" w:rsidRDefault="00000000">
      <w:pPr>
        <w:pStyle w:val="ListParagraph"/>
        <w:numPr>
          <w:ilvl w:val="0"/>
          <w:numId w:val="2"/>
        </w:numPr>
        <w:spacing w:before="40" w:after="40"/>
      </w:pPr>
      <w:r>
        <w:rPr>
          <w:color w:val="3A3A3A"/>
        </w:rPr>
        <w:t xml:space="preserve">students enrolled under instalment plans, </w:t>
      </w:r>
      <w:proofErr w:type="gramStart"/>
      <w:r>
        <w:rPr>
          <w:color w:val="3A3A3A"/>
        </w:rPr>
        <w:t>whether or not</w:t>
      </w:r>
      <w:proofErr w:type="gramEnd"/>
      <w:r>
        <w:rPr>
          <w:color w:val="3A3A3A"/>
        </w:rPr>
        <w:t xml:space="preserve"> all instalments have been paid.</w:t>
      </w:r>
    </w:p>
    <w:p w14:paraId="1FF8EC8B" w14:textId="77777777" w:rsidR="00BC4304" w:rsidRDefault="00BC4304">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C4304" w14:paraId="66B286A2" w14:textId="77777777">
        <w:tc>
          <w:tcPr>
            <w:tcW w:w="9026" w:type="dxa"/>
            <w:tcBorders>
              <w:top w:val="single" w:sz="1" w:space="0" w:color="C8A951"/>
              <w:left w:val="single" w:sz="1" w:space="0" w:color="C8A951"/>
              <w:bottom w:val="single" w:sz="1" w:space="0" w:color="C8A951"/>
              <w:right w:val="single" w:sz="1" w:space="0" w:color="C8A951"/>
            </w:tcBorders>
            <w:shd w:val="clear" w:color="auto" w:fill="FDF8EC"/>
            <w:tcMar>
              <w:top w:w="120" w:type="dxa"/>
              <w:left w:w="180" w:type="dxa"/>
              <w:bottom w:w="120" w:type="dxa"/>
              <w:right w:w="180" w:type="dxa"/>
            </w:tcMar>
          </w:tcPr>
          <w:p w14:paraId="2B974EB0" w14:textId="77777777" w:rsidR="00BC4304" w:rsidRDefault="00000000">
            <w:pPr>
              <w:spacing w:before="40" w:after="40"/>
            </w:pPr>
            <w:r>
              <w:rPr>
                <w:i/>
                <w:iCs/>
                <w:color w:val="6B4F00"/>
                <w:sz w:val="20"/>
                <w:szCs w:val="20"/>
              </w:rPr>
              <w:t xml:space="preserve">Remaining unpaid instalments: Where a student enrolled under an instalment plan withdraws or is dismissed after commencement, all outstanding instalments remain due and payable in full as a contractual debt. </w:t>
            </w:r>
            <w:proofErr w:type="spellStart"/>
            <w:r>
              <w:rPr>
                <w:i/>
                <w:iCs/>
                <w:color w:val="6B4F00"/>
                <w:sz w:val="20"/>
                <w:szCs w:val="20"/>
              </w:rPr>
              <w:t>Lawlit</w:t>
            </w:r>
            <w:proofErr w:type="spellEnd"/>
            <w:r>
              <w:rPr>
                <w:i/>
                <w:iCs/>
                <w:color w:val="6B4F00"/>
                <w:sz w:val="20"/>
                <w:szCs w:val="20"/>
              </w:rPr>
              <w:t xml:space="preserve"> reserves the right to initiate recovery proceedings for unpaid instalments.</w:t>
            </w:r>
          </w:p>
        </w:tc>
      </w:tr>
    </w:tbl>
    <w:p w14:paraId="69E3E6BE" w14:textId="77777777" w:rsidR="00BC4304" w:rsidRDefault="00BC4304">
      <w:pPr>
        <w:spacing w:before="120"/>
      </w:pPr>
    </w:p>
    <w:p w14:paraId="6717E475" w14:textId="77777777" w:rsidR="00BC4304" w:rsidRDefault="00000000">
      <w:pPr>
        <w:pStyle w:val="Heading1"/>
        <w:pBdr>
          <w:bottom w:val="single" w:sz="10" w:space="4" w:color="C8A951"/>
        </w:pBdr>
      </w:pPr>
      <w:r>
        <w:t>5.  Deferral Policy</w:t>
      </w:r>
    </w:p>
    <w:p w14:paraId="1AA449C1" w14:textId="77777777" w:rsidR="00BC4304" w:rsidRDefault="00000000">
      <w:pPr>
        <w:spacing w:before="60" w:after="60"/>
      </w:pPr>
      <w:r>
        <w:rPr>
          <w:color w:val="3A3A3A"/>
        </w:rPr>
        <w:t>A deferral allows a student to transfer their enrolment to a future cohort. Deferrals are a discretionary accommodation, not an entitlement, and are subject to cohort availability.</w:t>
      </w:r>
    </w:p>
    <w:p w14:paraId="2BAE1E26" w14:textId="77777777" w:rsidR="00BC4304" w:rsidRDefault="00BC4304">
      <w:pPr>
        <w:spacing w:before="60"/>
      </w:pPr>
    </w:p>
    <w:p w14:paraId="51C751A6" w14:textId="77777777" w:rsidR="00BC4304" w:rsidRDefault="00000000">
      <w:pPr>
        <w:pStyle w:val="Heading2"/>
      </w:pPr>
      <w:proofErr w:type="gramStart"/>
      <w:r>
        <w:t>5.1  Eligibility</w:t>
      </w:r>
      <w:proofErr w:type="gramEnd"/>
      <w:r>
        <w:t xml:space="preserve"> for Deferral</w:t>
      </w:r>
    </w:p>
    <w:p w14:paraId="66942FD5" w14:textId="77777777" w:rsidR="00BC4304" w:rsidRDefault="00000000">
      <w:pPr>
        <w:spacing w:before="60" w:after="60"/>
      </w:pPr>
      <w:r>
        <w:rPr>
          <w:color w:val="3A3A3A"/>
        </w:rPr>
        <w:t>A deferral request will be considered only if:</w:t>
      </w:r>
    </w:p>
    <w:p w14:paraId="5DFBF91C" w14:textId="7C8CE7EC" w:rsidR="00BC4304" w:rsidRDefault="00000000">
      <w:pPr>
        <w:pStyle w:val="ListParagraph"/>
        <w:numPr>
          <w:ilvl w:val="0"/>
          <w:numId w:val="2"/>
        </w:numPr>
        <w:spacing w:before="40" w:after="40"/>
      </w:pPr>
      <w:r>
        <w:rPr>
          <w:color w:val="3A3A3A"/>
        </w:rPr>
        <w:t xml:space="preserve">the request is submitted in writing to </w:t>
      </w:r>
      <w:hyperlink r:id="rId7" w:history="1">
        <w:r w:rsidR="00EB1F31" w:rsidRPr="004D649C">
          <w:rPr>
            <w:rStyle w:val="Hyperlink"/>
          </w:rPr>
          <w:t>office@lawlit.in</w:t>
        </w:r>
      </w:hyperlink>
      <w:r w:rsidR="00EB1F31">
        <w:rPr>
          <w:color w:val="3A3A3A"/>
        </w:rPr>
        <w:t xml:space="preserve"> </w:t>
      </w:r>
      <w:r>
        <w:rPr>
          <w:color w:val="3A3A3A"/>
        </w:rPr>
        <w:t>at least 15 days before the cohort start date;</w:t>
      </w:r>
    </w:p>
    <w:p w14:paraId="2690953E" w14:textId="77777777" w:rsidR="00BC4304" w:rsidRDefault="00000000">
      <w:pPr>
        <w:pStyle w:val="ListParagraph"/>
        <w:numPr>
          <w:ilvl w:val="0"/>
          <w:numId w:val="2"/>
        </w:numPr>
        <w:spacing w:before="40" w:after="40"/>
      </w:pPr>
      <w:r>
        <w:rPr>
          <w:color w:val="3A3A3A"/>
        </w:rPr>
        <w:t>the student has not previously exercised a deferral in respect of the same enrolment;</w:t>
      </w:r>
    </w:p>
    <w:p w14:paraId="13BA3ED9" w14:textId="77777777" w:rsidR="00BC4304" w:rsidRDefault="00000000">
      <w:pPr>
        <w:pStyle w:val="ListParagraph"/>
        <w:numPr>
          <w:ilvl w:val="0"/>
          <w:numId w:val="2"/>
        </w:numPr>
        <w:spacing w:before="40" w:after="40"/>
      </w:pPr>
      <w:r>
        <w:rPr>
          <w:color w:val="3A3A3A"/>
        </w:rPr>
        <w:lastRenderedPageBreak/>
        <w:t>no disciplinary proceedings are pending or concluded against the student; and</w:t>
      </w:r>
    </w:p>
    <w:p w14:paraId="6B09BDB5" w14:textId="77777777" w:rsidR="00BC4304" w:rsidRDefault="00000000">
      <w:pPr>
        <w:pStyle w:val="ListParagraph"/>
        <w:numPr>
          <w:ilvl w:val="0"/>
          <w:numId w:val="2"/>
        </w:numPr>
        <w:spacing w:before="40" w:after="40"/>
      </w:pPr>
      <w:r>
        <w:rPr>
          <w:color w:val="3A3A3A"/>
        </w:rPr>
        <w:t>the student is current on all payment obligations at the time of the request.</w:t>
      </w:r>
    </w:p>
    <w:p w14:paraId="6FBFAF67" w14:textId="77777777" w:rsidR="00BC4304" w:rsidRDefault="00BC4304">
      <w:pPr>
        <w:spacing w:before="60"/>
      </w:pPr>
    </w:p>
    <w:p w14:paraId="27B8FCED" w14:textId="77777777" w:rsidR="00BC4304" w:rsidRDefault="00000000">
      <w:pPr>
        <w:pStyle w:val="Heading2"/>
      </w:pPr>
      <w:proofErr w:type="gramStart"/>
      <w:r>
        <w:t>5.2  Terms</w:t>
      </w:r>
      <w:proofErr w:type="gramEnd"/>
      <w:r>
        <w:t xml:space="preserve"> of Deferral</w:t>
      </w:r>
    </w:p>
    <w:p w14:paraId="7ECBE955" w14:textId="77777777" w:rsidR="00BC4304" w:rsidRDefault="00000000">
      <w:pPr>
        <w:pStyle w:val="ListParagraph"/>
        <w:numPr>
          <w:ilvl w:val="0"/>
          <w:numId w:val="2"/>
        </w:numPr>
        <w:spacing w:before="40" w:after="40"/>
      </w:pPr>
      <w:r>
        <w:rPr>
          <w:color w:val="3A3A3A"/>
        </w:rPr>
        <w:t>One deferral is permitted per enrolment. A second deferral request will not be considered under any circumstances.</w:t>
      </w:r>
    </w:p>
    <w:p w14:paraId="6FC36EE4" w14:textId="77777777" w:rsidR="00BC4304" w:rsidRDefault="00000000">
      <w:pPr>
        <w:pStyle w:val="ListParagraph"/>
        <w:numPr>
          <w:ilvl w:val="0"/>
          <w:numId w:val="2"/>
        </w:numPr>
        <w:spacing w:before="40" w:after="40"/>
      </w:pPr>
      <w:r>
        <w:rPr>
          <w:color w:val="3A3A3A"/>
        </w:rPr>
        <w:t>The deferred cohort must commence within 12 months of the original cohort’s start date. If no suitable cohort commences within that window, the enrolment and all fees paid are forfeited without credit.</w:t>
      </w:r>
    </w:p>
    <w:p w14:paraId="37821B56" w14:textId="77777777" w:rsidR="00BC4304" w:rsidRDefault="00000000">
      <w:pPr>
        <w:pStyle w:val="ListParagraph"/>
        <w:numPr>
          <w:ilvl w:val="0"/>
          <w:numId w:val="2"/>
        </w:numPr>
        <w:spacing w:before="40" w:after="40"/>
      </w:pPr>
      <w:r>
        <w:rPr>
          <w:color w:val="3A3A3A"/>
        </w:rPr>
        <w:t>If the deferred cohort carries a higher programme fee, the student must pay the difference in full before the deferred cohort commences. No deferral to a lower-fee cohort entitles the student to any refund or credit of the difference.</w:t>
      </w:r>
    </w:p>
    <w:p w14:paraId="155F8B7C" w14:textId="77777777" w:rsidR="00BC4304" w:rsidRDefault="00000000">
      <w:pPr>
        <w:pStyle w:val="ListParagraph"/>
        <w:numPr>
          <w:ilvl w:val="0"/>
          <w:numId w:val="2"/>
        </w:numPr>
        <w:spacing w:before="40" w:after="40"/>
      </w:pPr>
      <w:r>
        <w:rPr>
          <w:color w:val="3A3A3A"/>
        </w:rPr>
        <w:t>A deferral granted within 15–30 days of the original cohort start date does not carry a tuition credit; only the enrolment itself is deferred.</w:t>
      </w:r>
    </w:p>
    <w:p w14:paraId="0D76D457" w14:textId="77777777" w:rsidR="00BC4304" w:rsidRDefault="00000000">
      <w:pPr>
        <w:pStyle w:val="ListParagraph"/>
        <w:numPr>
          <w:ilvl w:val="0"/>
          <w:numId w:val="2"/>
        </w:numPr>
        <w:spacing w:before="40" w:after="40"/>
      </w:pPr>
      <w:proofErr w:type="spellStart"/>
      <w:r>
        <w:rPr>
          <w:color w:val="3A3A3A"/>
        </w:rPr>
        <w:t>Lawlit</w:t>
      </w:r>
      <w:proofErr w:type="spellEnd"/>
      <w:r>
        <w:rPr>
          <w:color w:val="3A3A3A"/>
        </w:rPr>
        <w:t xml:space="preserve"> reserves the right to decline any deferral request at its sole discretion, including where capacity in future cohorts is constrained.</w:t>
      </w:r>
    </w:p>
    <w:p w14:paraId="22BCBB3D" w14:textId="77777777" w:rsidR="00BC4304" w:rsidRDefault="00BC4304">
      <w:pPr>
        <w:spacing w:before="120"/>
      </w:pPr>
    </w:p>
    <w:p w14:paraId="3D67DE63" w14:textId="77777777" w:rsidR="00BC4304" w:rsidRDefault="00000000">
      <w:pPr>
        <w:pStyle w:val="Heading1"/>
        <w:pBdr>
          <w:bottom w:val="single" w:sz="10" w:space="4" w:color="C8A951"/>
        </w:pBdr>
      </w:pPr>
      <w:r>
        <w:t xml:space="preserve">6.  </w:t>
      </w:r>
      <w:proofErr w:type="spellStart"/>
      <w:r>
        <w:t>Lawlit</w:t>
      </w:r>
      <w:proofErr w:type="spellEnd"/>
      <w:r>
        <w:t>-Initiated Cancellation &amp; Force Majeure</w:t>
      </w:r>
    </w:p>
    <w:p w14:paraId="54CB63E4" w14:textId="77777777" w:rsidR="00BC4304" w:rsidRDefault="00000000">
      <w:pPr>
        <w:spacing w:before="60" w:after="60"/>
      </w:pPr>
      <w:r>
        <w:rPr>
          <w:color w:val="3A3A3A"/>
        </w:rPr>
        <w:t xml:space="preserve">If </w:t>
      </w:r>
      <w:proofErr w:type="spellStart"/>
      <w:r>
        <w:rPr>
          <w:color w:val="3A3A3A"/>
        </w:rPr>
        <w:t>Lawlit</w:t>
      </w:r>
      <w:proofErr w:type="spellEnd"/>
      <w:r>
        <w:rPr>
          <w:color w:val="3A3A3A"/>
        </w:rPr>
        <w:t xml:space="preserve"> cancels a cohort in its entirety prior to commencement due to force majeure (including but not limited to governmental or regulatory orders, public health emergencies, natural disasters, prolonged technical failure, or circumstances materially beyond </w:t>
      </w:r>
      <w:proofErr w:type="spellStart"/>
      <w:r>
        <w:rPr>
          <w:color w:val="3A3A3A"/>
        </w:rPr>
        <w:t>Lawlit’s</w:t>
      </w:r>
      <w:proofErr w:type="spellEnd"/>
      <w:r>
        <w:rPr>
          <w:color w:val="3A3A3A"/>
        </w:rPr>
        <w:t xml:space="preserve"> reasonable control), the sole remedy available to enrolled students shall be a deferred seat in the next available cohort. No monetary refund, tuition credit, or compensation of any kind shall be payable.</w:t>
      </w:r>
    </w:p>
    <w:p w14:paraId="19C3F932" w14:textId="77777777" w:rsidR="00BC4304" w:rsidRDefault="00BC4304">
      <w:pPr>
        <w:spacing w:before="60"/>
      </w:pPr>
    </w:p>
    <w:p w14:paraId="0E3BC510" w14:textId="77777777" w:rsidR="00BC4304" w:rsidRDefault="00000000">
      <w:pPr>
        <w:spacing w:before="60" w:after="60"/>
      </w:pPr>
      <w:proofErr w:type="spellStart"/>
      <w:r>
        <w:rPr>
          <w:color w:val="3A3A3A"/>
        </w:rPr>
        <w:t>Lawlit</w:t>
      </w:r>
      <w:proofErr w:type="spellEnd"/>
      <w:r>
        <w:rPr>
          <w:color w:val="3A3A3A"/>
        </w:rPr>
        <w:t xml:space="preserve"> shall notify affected students by email within 5 business days of the decision to cancel. The deferral offered in such circumstances is subject to the terms of Clause 5.2 above, save that the one-deferral limit per enrolment shall be reset where the cancellation was initiated by </w:t>
      </w:r>
      <w:proofErr w:type="spellStart"/>
      <w:r>
        <w:rPr>
          <w:color w:val="3A3A3A"/>
        </w:rPr>
        <w:t>Lawlit</w:t>
      </w:r>
      <w:proofErr w:type="spellEnd"/>
      <w:r>
        <w:rPr>
          <w:color w:val="3A3A3A"/>
        </w:rPr>
        <w:t>.</w:t>
      </w:r>
    </w:p>
    <w:p w14:paraId="2603BEBF" w14:textId="77777777" w:rsidR="00BC4304" w:rsidRDefault="00BC4304">
      <w:pPr>
        <w:spacing w:before="60"/>
      </w:pPr>
    </w:p>
    <w:p w14:paraId="78B9673F" w14:textId="77777777" w:rsidR="00BC4304" w:rsidRDefault="00000000">
      <w:pPr>
        <w:spacing w:before="60" w:after="60"/>
      </w:pPr>
      <w:proofErr w:type="spellStart"/>
      <w:r>
        <w:rPr>
          <w:color w:val="3A3A3A"/>
        </w:rPr>
        <w:t>Lawlit</w:t>
      </w:r>
      <w:proofErr w:type="spellEnd"/>
      <w:r>
        <w:rPr>
          <w:color w:val="3A3A3A"/>
        </w:rPr>
        <w:t xml:space="preserve"> shall bear no liability for any indirect, consequential, special, or incidental loss or damage arising from a force majeure cancellation, including but not limited to loss of income, travel costs, accommodation costs, or opportunity costs incurred by the student.</w:t>
      </w:r>
    </w:p>
    <w:p w14:paraId="7BBACF20" w14:textId="77777777" w:rsidR="00BC4304" w:rsidRDefault="00BC4304">
      <w:pPr>
        <w:spacing w:before="120"/>
      </w:pPr>
    </w:p>
    <w:p w14:paraId="48A8E68D" w14:textId="77777777" w:rsidR="00BC4304" w:rsidRDefault="00000000">
      <w:pPr>
        <w:pStyle w:val="Heading1"/>
        <w:pBdr>
          <w:bottom w:val="single" w:sz="10" w:space="4" w:color="C8A951"/>
        </w:pBdr>
      </w:pPr>
      <w:r>
        <w:t>7.  Deferred Tuition / ISA Students</w:t>
      </w:r>
    </w:p>
    <w:p w14:paraId="12A186AB" w14:textId="77777777" w:rsidR="00BC4304" w:rsidRDefault="00000000">
      <w:pPr>
        <w:spacing w:before="60" w:after="60"/>
      </w:pPr>
      <w:r>
        <w:rPr>
          <w:color w:val="3A3A3A"/>
        </w:rPr>
        <w:t>Students enrolled under a deferred tuition arrangement pay no upfront programme fee and therefore have no refund entitlement in respect of programme fees. The following provisions apply specifically to ISA students:</w:t>
      </w:r>
    </w:p>
    <w:p w14:paraId="59B8009F" w14:textId="77777777" w:rsidR="00BC4304" w:rsidRDefault="00000000">
      <w:pPr>
        <w:pStyle w:val="ListParagraph"/>
        <w:numPr>
          <w:ilvl w:val="0"/>
          <w:numId w:val="2"/>
        </w:numPr>
        <w:spacing w:before="40" w:after="40"/>
      </w:pPr>
      <w:r>
        <w:rPr>
          <w:color w:val="3A3A3A"/>
        </w:rPr>
        <w:t>All terms governing success fee obligations, income thresholds, payment triggers, pause provisions, and discharge are set out exclusively in the executed ISA. This Policy does not modify or supplement the ISA.</w:t>
      </w:r>
    </w:p>
    <w:p w14:paraId="02FCBDF0" w14:textId="1C67C4FA" w:rsidR="00BC4304" w:rsidRDefault="00000000">
      <w:pPr>
        <w:pStyle w:val="ListParagraph"/>
        <w:numPr>
          <w:ilvl w:val="0"/>
          <w:numId w:val="2"/>
        </w:numPr>
        <w:spacing w:before="40" w:after="40"/>
      </w:pPr>
      <w:r>
        <w:rPr>
          <w:color w:val="3A3A3A"/>
        </w:rPr>
        <w:t xml:space="preserve">Any request to waive, reduce, or dispute a success fee must be submitted in writing to </w:t>
      </w:r>
      <w:r w:rsidR="00E3741C">
        <w:rPr>
          <w:color w:val="3A3A3A"/>
        </w:rPr>
        <w:t>office@lawlit.in</w:t>
      </w:r>
      <w:r>
        <w:rPr>
          <w:color w:val="3A3A3A"/>
        </w:rPr>
        <w:t xml:space="preserve"> and shall be resolved in accordance with the dispute resolution mechanism in the ISA.</w:t>
      </w:r>
    </w:p>
    <w:p w14:paraId="350F626D" w14:textId="77777777" w:rsidR="00BC4304" w:rsidRDefault="00000000">
      <w:pPr>
        <w:pStyle w:val="ListParagraph"/>
        <w:numPr>
          <w:ilvl w:val="0"/>
          <w:numId w:val="2"/>
        </w:numPr>
        <w:spacing w:before="40" w:after="40"/>
      </w:pPr>
      <w:r>
        <w:rPr>
          <w:color w:val="3A3A3A"/>
        </w:rPr>
        <w:t>ISA students who withdraw prior to placement are not entitled to any compensation, credit, or partial waiver of the success fee that may subsequently become payable.</w:t>
      </w:r>
    </w:p>
    <w:p w14:paraId="2A3FB8F5" w14:textId="77777777" w:rsidR="00BC4304" w:rsidRDefault="00BC4304">
      <w:pPr>
        <w:spacing w:before="120"/>
      </w:pPr>
    </w:p>
    <w:p w14:paraId="69A752D0" w14:textId="77777777" w:rsidR="00BC4304" w:rsidRDefault="00000000">
      <w:pPr>
        <w:pStyle w:val="Heading1"/>
        <w:pBdr>
          <w:bottom w:val="single" w:sz="10" w:space="4" w:color="C8A951"/>
        </w:pBdr>
      </w:pPr>
      <w:r>
        <w:lastRenderedPageBreak/>
        <w:t>8.  Instalment Payment Plans</w:t>
      </w:r>
    </w:p>
    <w:p w14:paraId="5320DE29" w14:textId="77777777" w:rsidR="00BC4304" w:rsidRDefault="00000000">
      <w:pPr>
        <w:spacing w:before="60" w:after="60"/>
      </w:pPr>
      <w:r>
        <w:rPr>
          <w:color w:val="3A3A3A"/>
        </w:rPr>
        <w:t>Where a student’s programme fee is structured as a series of instalments, the following rules apply in addition to all other provisions of this Policy:</w:t>
      </w:r>
    </w:p>
    <w:p w14:paraId="2EF7BA9D" w14:textId="77777777" w:rsidR="00BC4304" w:rsidRDefault="00000000">
      <w:pPr>
        <w:pStyle w:val="ListParagraph"/>
        <w:numPr>
          <w:ilvl w:val="0"/>
          <w:numId w:val="2"/>
        </w:numPr>
        <w:spacing w:before="40" w:after="40"/>
      </w:pPr>
      <w:r>
        <w:rPr>
          <w:color w:val="3A3A3A"/>
        </w:rPr>
        <w:t>Each instalment becomes a non-refundable, non-creditable obligation on the date it falls due, regardless of whether commencement has occurred.</w:t>
      </w:r>
    </w:p>
    <w:p w14:paraId="70BEEC34" w14:textId="77777777" w:rsidR="00BC4304" w:rsidRDefault="00000000">
      <w:pPr>
        <w:pStyle w:val="ListParagraph"/>
        <w:numPr>
          <w:ilvl w:val="0"/>
          <w:numId w:val="2"/>
        </w:numPr>
        <w:spacing w:before="40" w:after="40"/>
      </w:pPr>
      <w:r>
        <w:rPr>
          <w:color w:val="3A3A3A"/>
        </w:rPr>
        <w:t xml:space="preserve">Failure to pay any instalment by its due date constitutes a breach of the enrolment agreement. </w:t>
      </w:r>
      <w:proofErr w:type="spellStart"/>
      <w:r>
        <w:rPr>
          <w:color w:val="3A3A3A"/>
        </w:rPr>
        <w:t>Lawlit</w:t>
      </w:r>
      <w:proofErr w:type="spellEnd"/>
      <w:r>
        <w:rPr>
          <w:color w:val="3A3A3A"/>
        </w:rPr>
        <w:t xml:space="preserve"> reserves the right to suspend access to programme materials until the overdue amount is settled in full, or to terminate the enrolment without refund of amounts already paid.</w:t>
      </w:r>
    </w:p>
    <w:p w14:paraId="6778788E" w14:textId="77777777" w:rsidR="00BC4304" w:rsidRDefault="00000000">
      <w:pPr>
        <w:pStyle w:val="ListParagraph"/>
        <w:numPr>
          <w:ilvl w:val="0"/>
          <w:numId w:val="2"/>
        </w:numPr>
        <w:spacing w:before="40" w:after="40"/>
      </w:pPr>
      <w:r>
        <w:rPr>
          <w:color w:val="3A3A3A"/>
        </w:rPr>
        <w:t>A student who has paid one or more instalments and subsequently cancels before commencement may apply for a tuition credit under Clause 3 only in respect of instalments already paid; future unpaid instalments are not credited.</w:t>
      </w:r>
    </w:p>
    <w:p w14:paraId="13B5CE8F" w14:textId="77777777" w:rsidR="00BC4304" w:rsidRDefault="00000000">
      <w:pPr>
        <w:pStyle w:val="ListParagraph"/>
        <w:numPr>
          <w:ilvl w:val="0"/>
          <w:numId w:val="2"/>
        </w:numPr>
        <w:spacing w:before="40" w:after="40"/>
      </w:pPr>
      <w:r>
        <w:rPr>
          <w:color w:val="3A3A3A"/>
        </w:rPr>
        <w:t>Interest on overdue instalments shall accrue at the rate of 18% per annum from the due date until the date of full payment.</w:t>
      </w:r>
    </w:p>
    <w:p w14:paraId="40C1F7CD" w14:textId="77777777" w:rsidR="00BC4304" w:rsidRDefault="00BC4304">
      <w:pPr>
        <w:spacing w:before="120"/>
      </w:pPr>
    </w:p>
    <w:p w14:paraId="6C4C419F" w14:textId="77777777" w:rsidR="00BC4304" w:rsidRDefault="00000000">
      <w:pPr>
        <w:pStyle w:val="Heading1"/>
        <w:pBdr>
          <w:bottom w:val="single" w:sz="10" w:space="4" w:color="C8A951"/>
        </w:pBdr>
      </w:pPr>
      <w:r>
        <w:t>9.  Procedure for Cancellation, Credit &amp; Deferral Requests</w:t>
      </w:r>
    </w:p>
    <w:p w14:paraId="447E5BE9" w14:textId="77777777" w:rsidR="00BC4304" w:rsidRDefault="00000000">
      <w:pPr>
        <w:spacing w:before="60" w:after="60"/>
      </w:pPr>
      <w:r>
        <w:rPr>
          <w:color w:val="3A3A3A"/>
        </w:rPr>
        <w:t>All cancellation, tuition credit, and deferral requests must be initiated by the student as follows:</w:t>
      </w:r>
    </w:p>
    <w:p w14:paraId="3E98C9E5" w14:textId="77777777" w:rsidR="00BC4304" w:rsidRDefault="00BC4304">
      <w:pPr>
        <w:spacing w:before="60"/>
      </w:pPr>
    </w:p>
    <w:p w14:paraId="06861E47" w14:textId="77777777" w:rsidR="00BC4304" w:rsidRDefault="00000000">
      <w:pPr>
        <w:pStyle w:val="Heading2"/>
      </w:pPr>
      <w:r>
        <w:t>Step 1 — Written Request</w:t>
      </w:r>
    </w:p>
    <w:p w14:paraId="6244333A" w14:textId="21599975" w:rsidR="00BC4304" w:rsidRDefault="00000000">
      <w:pPr>
        <w:spacing w:before="60" w:after="60"/>
      </w:pPr>
      <w:r>
        <w:rPr>
          <w:color w:val="3A3A3A"/>
        </w:rPr>
        <w:t xml:space="preserve">Send an email to </w:t>
      </w:r>
      <w:proofErr w:type="spellStart"/>
      <w:r w:rsidR="00E3741C">
        <w:rPr>
          <w:color w:val="3A3A3A"/>
        </w:rPr>
        <w:t>office@lawlit.in</w:t>
      </w:r>
      <w:r>
        <w:rPr>
          <w:color w:val="3A3A3A"/>
        </w:rPr>
        <w:t>with</w:t>
      </w:r>
      <w:proofErr w:type="spellEnd"/>
      <w:r>
        <w:rPr>
          <w:color w:val="3A3A3A"/>
        </w:rPr>
        <w:t xml:space="preserve"> the subject line:</w:t>
      </w:r>
    </w:p>
    <w:p w14:paraId="6D6E2311" w14:textId="77777777" w:rsidR="00BC4304" w:rsidRDefault="00000000">
      <w:pPr>
        <w:spacing w:before="60" w:after="60"/>
      </w:pPr>
      <w:r>
        <w:rPr>
          <w:i/>
          <w:iCs/>
          <w:color w:val="3A3A3A"/>
        </w:rPr>
        <w:t>“Refund/Credit/Deferral Request – [Full Name] – [Cohort Name]”</w:t>
      </w:r>
    </w:p>
    <w:p w14:paraId="35442BB4" w14:textId="77777777" w:rsidR="00BC4304" w:rsidRDefault="00000000">
      <w:pPr>
        <w:spacing w:before="60" w:after="60"/>
      </w:pPr>
      <w:r>
        <w:rPr>
          <w:color w:val="3A3A3A"/>
        </w:rPr>
        <w:t xml:space="preserve">The email must </w:t>
      </w:r>
      <w:proofErr w:type="gramStart"/>
      <w:r>
        <w:rPr>
          <w:color w:val="3A3A3A"/>
        </w:rPr>
        <w:t>include:</w:t>
      </w:r>
      <w:proofErr w:type="gramEnd"/>
      <w:r>
        <w:rPr>
          <w:color w:val="3A3A3A"/>
        </w:rPr>
        <w:t xml:space="preserve"> full name; registered email address; programme name and cohort batch code; payment reference number(s); date(s) of payment; and a brief statement of the reason for the request.</w:t>
      </w:r>
    </w:p>
    <w:p w14:paraId="134D5ADB" w14:textId="77777777" w:rsidR="00BC4304" w:rsidRDefault="00BC4304">
      <w:pPr>
        <w:spacing w:before="60"/>
      </w:pPr>
    </w:p>
    <w:p w14:paraId="19A33B75" w14:textId="77777777" w:rsidR="00BC4304" w:rsidRDefault="00000000">
      <w:pPr>
        <w:pStyle w:val="Heading2"/>
      </w:pPr>
      <w:r>
        <w:t>Step 2 — Acknowledgement</w:t>
      </w:r>
    </w:p>
    <w:p w14:paraId="262CBE50" w14:textId="77777777" w:rsidR="00BC4304" w:rsidRDefault="00000000">
      <w:pPr>
        <w:spacing w:before="60" w:after="60"/>
      </w:pPr>
      <w:proofErr w:type="spellStart"/>
      <w:r>
        <w:rPr>
          <w:color w:val="3A3A3A"/>
        </w:rPr>
        <w:t>Lawlit</w:t>
      </w:r>
      <w:proofErr w:type="spellEnd"/>
      <w:r>
        <w:rPr>
          <w:color w:val="3A3A3A"/>
        </w:rPr>
        <w:t xml:space="preserve"> will acknowledge receipt of the request within 2 business days. Acknowledgement of a request does not constitute acceptance or confirmation of eligibility.</w:t>
      </w:r>
    </w:p>
    <w:p w14:paraId="1D8DCF7E" w14:textId="77777777" w:rsidR="00BC4304" w:rsidRDefault="00BC4304">
      <w:pPr>
        <w:spacing w:before="60"/>
      </w:pPr>
    </w:p>
    <w:p w14:paraId="645DD2BD" w14:textId="77777777" w:rsidR="00BC4304" w:rsidRDefault="00000000">
      <w:pPr>
        <w:pStyle w:val="Heading2"/>
      </w:pPr>
      <w:r>
        <w:t>Step 3 — Review &amp; Decision</w:t>
      </w:r>
    </w:p>
    <w:p w14:paraId="7E6A7ED0" w14:textId="77777777" w:rsidR="00BC4304" w:rsidRDefault="00000000">
      <w:pPr>
        <w:spacing w:before="60" w:after="60"/>
      </w:pPr>
      <w:proofErr w:type="spellStart"/>
      <w:r>
        <w:rPr>
          <w:color w:val="3A3A3A"/>
        </w:rPr>
        <w:t>Lawlit</w:t>
      </w:r>
      <w:proofErr w:type="spellEnd"/>
      <w:r>
        <w:rPr>
          <w:color w:val="3A3A3A"/>
        </w:rPr>
        <w:t xml:space="preserve"> will assess the request against this Policy and notify the student of the outcome within 10 business days of the acknowledgement. The decision of </w:t>
      </w:r>
      <w:proofErr w:type="spellStart"/>
      <w:r>
        <w:rPr>
          <w:color w:val="3A3A3A"/>
        </w:rPr>
        <w:t>Lawlit</w:t>
      </w:r>
      <w:proofErr w:type="spellEnd"/>
      <w:r>
        <w:rPr>
          <w:color w:val="3A3A3A"/>
        </w:rPr>
        <w:t xml:space="preserve"> shall be final, subject only to the dispute resolution procedure in Clause 11.</w:t>
      </w:r>
    </w:p>
    <w:p w14:paraId="568FEFD1" w14:textId="77777777" w:rsidR="00BC4304" w:rsidRDefault="00BC4304">
      <w:pPr>
        <w:spacing w:before="60"/>
      </w:pPr>
    </w:p>
    <w:p w14:paraId="6AF0014F" w14:textId="77777777" w:rsidR="00BC4304" w:rsidRDefault="00000000">
      <w:pPr>
        <w:pStyle w:val="Heading2"/>
      </w:pPr>
      <w:r>
        <w:t>Step 4 — Credit Issuance</w:t>
      </w:r>
    </w:p>
    <w:p w14:paraId="146F327B" w14:textId="77777777" w:rsidR="00BC4304" w:rsidRDefault="00000000">
      <w:pPr>
        <w:spacing w:before="60" w:after="60"/>
      </w:pPr>
      <w:r>
        <w:rPr>
          <w:color w:val="3A3A3A"/>
        </w:rPr>
        <w:t xml:space="preserve">Where a tuition credit is approved, </w:t>
      </w:r>
      <w:proofErr w:type="spellStart"/>
      <w:r>
        <w:rPr>
          <w:color w:val="3A3A3A"/>
        </w:rPr>
        <w:t>Lawlit</w:t>
      </w:r>
      <w:proofErr w:type="spellEnd"/>
      <w:r>
        <w:rPr>
          <w:color w:val="3A3A3A"/>
        </w:rPr>
        <w:t xml:space="preserve"> will issue a written credit confirmation specifying the credit amount, expiry date, and applicable conditions. Tuition credits are non-transferable, non-redeemable for cash, and valid only toward a </w:t>
      </w:r>
      <w:proofErr w:type="spellStart"/>
      <w:r>
        <w:rPr>
          <w:color w:val="3A3A3A"/>
        </w:rPr>
        <w:t>Lawlit</w:t>
      </w:r>
      <w:proofErr w:type="spellEnd"/>
      <w:r>
        <w:rPr>
          <w:color w:val="3A3A3A"/>
        </w:rPr>
        <w:t xml:space="preserve"> programme commencing within the validity period.</w:t>
      </w:r>
    </w:p>
    <w:p w14:paraId="08F0590D" w14:textId="77777777" w:rsidR="00BC4304" w:rsidRDefault="00BC4304">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C4304" w14:paraId="00D7AEA4" w14:textId="77777777">
        <w:tc>
          <w:tcPr>
            <w:tcW w:w="9026" w:type="dxa"/>
            <w:tcBorders>
              <w:top w:val="single" w:sz="1" w:space="0" w:color="C8A951"/>
              <w:left w:val="single" w:sz="1" w:space="0" w:color="C8A951"/>
              <w:bottom w:val="single" w:sz="1" w:space="0" w:color="C8A951"/>
              <w:right w:val="single" w:sz="1" w:space="0" w:color="C8A951"/>
            </w:tcBorders>
            <w:shd w:val="clear" w:color="auto" w:fill="FDF8EC"/>
            <w:tcMar>
              <w:top w:w="120" w:type="dxa"/>
              <w:left w:w="180" w:type="dxa"/>
              <w:bottom w:w="120" w:type="dxa"/>
              <w:right w:w="180" w:type="dxa"/>
            </w:tcMar>
          </w:tcPr>
          <w:p w14:paraId="0794FC53" w14:textId="77777777" w:rsidR="00BC4304" w:rsidRDefault="00000000">
            <w:pPr>
              <w:spacing w:before="40" w:after="40"/>
            </w:pPr>
            <w:r>
              <w:rPr>
                <w:i/>
                <w:iCs/>
                <w:color w:val="6B4F00"/>
                <w:sz w:val="20"/>
                <w:szCs w:val="20"/>
              </w:rPr>
              <w:t xml:space="preserve">Refunds to original payment instrument: In the rare event that </w:t>
            </w:r>
            <w:proofErr w:type="spellStart"/>
            <w:r>
              <w:rPr>
                <w:i/>
                <w:iCs/>
                <w:color w:val="6B4F00"/>
                <w:sz w:val="20"/>
                <w:szCs w:val="20"/>
              </w:rPr>
              <w:t>Lawlit</w:t>
            </w:r>
            <w:proofErr w:type="spellEnd"/>
            <w:r>
              <w:rPr>
                <w:i/>
                <w:iCs/>
                <w:color w:val="6B4F00"/>
                <w:sz w:val="20"/>
                <w:szCs w:val="20"/>
              </w:rPr>
              <w:t xml:space="preserve"> is legally obligated to issue a monetary refund (for example, by a binding court order), the refund shall be credited to the original payment instrument only. </w:t>
            </w:r>
            <w:proofErr w:type="spellStart"/>
            <w:r>
              <w:rPr>
                <w:i/>
                <w:iCs/>
                <w:color w:val="6B4F00"/>
                <w:sz w:val="20"/>
                <w:szCs w:val="20"/>
              </w:rPr>
              <w:t>Lawlit</w:t>
            </w:r>
            <w:proofErr w:type="spellEnd"/>
            <w:r>
              <w:rPr>
                <w:i/>
                <w:iCs/>
                <w:color w:val="6B4F00"/>
                <w:sz w:val="20"/>
                <w:szCs w:val="20"/>
              </w:rPr>
              <w:t xml:space="preserve"> does not issue refunds by cheque, demand draft, NEFT to a different account, or any instrument other than the original method of payment.</w:t>
            </w:r>
          </w:p>
          <w:p w14:paraId="79A0C342" w14:textId="77777777" w:rsidR="00BC4304" w:rsidRDefault="00BC4304">
            <w:pPr>
              <w:spacing w:before="40" w:after="40"/>
            </w:pPr>
          </w:p>
          <w:p w14:paraId="276FA347" w14:textId="77777777" w:rsidR="00BC4304" w:rsidRDefault="00000000">
            <w:pPr>
              <w:spacing w:before="40" w:after="40"/>
            </w:pPr>
            <w:r>
              <w:rPr>
                <w:i/>
                <w:iCs/>
                <w:color w:val="6B4F00"/>
                <w:sz w:val="20"/>
                <w:szCs w:val="20"/>
              </w:rPr>
              <w:t>Processing time for court-ordered refunds: Up to 15 business days from the date of binding order.</w:t>
            </w:r>
          </w:p>
        </w:tc>
      </w:tr>
    </w:tbl>
    <w:p w14:paraId="6D5386DE" w14:textId="77777777" w:rsidR="00BC4304" w:rsidRDefault="00BC4304">
      <w:pPr>
        <w:spacing w:before="120"/>
      </w:pPr>
    </w:p>
    <w:p w14:paraId="3869E2D1" w14:textId="77777777" w:rsidR="00BC4304" w:rsidRDefault="00000000">
      <w:pPr>
        <w:pStyle w:val="Heading1"/>
        <w:pBdr>
          <w:bottom w:val="single" w:sz="10" w:space="4" w:color="C8A951"/>
        </w:pBdr>
      </w:pPr>
      <w:r>
        <w:t>10.  Chargebacks, Payment Reversals &amp; Fraud</w:t>
      </w:r>
    </w:p>
    <w:p w14:paraId="512F4E28" w14:textId="77777777" w:rsidR="00BC4304" w:rsidRDefault="00000000">
      <w:pPr>
        <w:spacing w:before="60" w:after="60"/>
      </w:pPr>
      <w:r>
        <w:rPr>
          <w:color w:val="3A3A3A"/>
        </w:rPr>
        <w:t xml:space="preserve">Initiating a chargeback, payment reversal, or “dispute” with a bank, card network, or payment processor without first completing the request procedure in Clause 9 constitutes a material breach of this Policy and the enrolment agreement. Upon learning of any such chargeback, </w:t>
      </w:r>
      <w:proofErr w:type="spellStart"/>
      <w:r>
        <w:rPr>
          <w:color w:val="3A3A3A"/>
        </w:rPr>
        <w:t>Lawlit</w:t>
      </w:r>
      <w:proofErr w:type="spellEnd"/>
      <w:r>
        <w:rPr>
          <w:color w:val="3A3A3A"/>
        </w:rPr>
        <w:t xml:space="preserve"> shall:</w:t>
      </w:r>
    </w:p>
    <w:p w14:paraId="1ED63365" w14:textId="77777777" w:rsidR="00BC4304" w:rsidRDefault="00000000">
      <w:pPr>
        <w:pStyle w:val="ListParagraph"/>
        <w:numPr>
          <w:ilvl w:val="0"/>
          <w:numId w:val="2"/>
        </w:numPr>
        <w:spacing w:before="40" w:after="40"/>
      </w:pPr>
      <w:r>
        <w:rPr>
          <w:color w:val="3A3A3A"/>
        </w:rPr>
        <w:t>immediately suspend all access to programme materials, portals, and resources;</w:t>
      </w:r>
    </w:p>
    <w:p w14:paraId="1A7E5B85" w14:textId="77777777" w:rsidR="00BC4304" w:rsidRDefault="00000000">
      <w:pPr>
        <w:pStyle w:val="ListParagraph"/>
        <w:numPr>
          <w:ilvl w:val="0"/>
          <w:numId w:val="2"/>
        </w:numPr>
        <w:spacing w:before="40" w:after="40"/>
      </w:pPr>
      <w:r>
        <w:rPr>
          <w:color w:val="3A3A3A"/>
        </w:rPr>
        <w:t>place a hold on any certification, transcript, or placement-support services;</w:t>
      </w:r>
    </w:p>
    <w:p w14:paraId="7C89CF22" w14:textId="77777777" w:rsidR="00BC4304" w:rsidRDefault="00000000">
      <w:pPr>
        <w:pStyle w:val="ListParagraph"/>
        <w:numPr>
          <w:ilvl w:val="0"/>
          <w:numId w:val="2"/>
        </w:numPr>
        <w:spacing w:before="40" w:after="40"/>
      </w:pPr>
      <w:r>
        <w:rPr>
          <w:color w:val="3A3A3A"/>
        </w:rPr>
        <w:t>contest the chargeback and provide all supporting evidence to the payment network; and</w:t>
      </w:r>
    </w:p>
    <w:p w14:paraId="4DDC590A" w14:textId="77777777" w:rsidR="00BC4304" w:rsidRDefault="00000000">
      <w:pPr>
        <w:pStyle w:val="ListParagraph"/>
        <w:numPr>
          <w:ilvl w:val="0"/>
          <w:numId w:val="2"/>
        </w:numPr>
        <w:spacing w:before="40" w:after="40"/>
      </w:pPr>
      <w:r>
        <w:rPr>
          <w:color w:val="3A3A3A"/>
        </w:rPr>
        <w:t>pursue recovery of the disputed amount plus reasonable legal costs and interest through appropriate legal channels.</w:t>
      </w:r>
    </w:p>
    <w:p w14:paraId="1950C10F" w14:textId="77777777" w:rsidR="00BC4304" w:rsidRDefault="00BC4304">
      <w:pPr>
        <w:spacing w:before="60"/>
      </w:pPr>
    </w:p>
    <w:p w14:paraId="4A0B098E" w14:textId="77777777" w:rsidR="00BC4304" w:rsidRDefault="00000000">
      <w:pPr>
        <w:spacing w:before="60" w:after="60"/>
      </w:pPr>
      <w:r>
        <w:rPr>
          <w:color w:val="3A3A3A"/>
        </w:rPr>
        <w:t xml:space="preserve">Repeated or fraudulent chargeback attempts may be reported to the relevant authorities and credit bureaus. </w:t>
      </w:r>
      <w:proofErr w:type="spellStart"/>
      <w:r>
        <w:rPr>
          <w:color w:val="3A3A3A"/>
        </w:rPr>
        <w:t>Lawlit</w:t>
      </w:r>
      <w:proofErr w:type="spellEnd"/>
      <w:r>
        <w:rPr>
          <w:color w:val="3A3A3A"/>
        </w:rPr>
        <w:t xml:space="preserve"> reserves all rights under the Information Technology Act, 2000 and the Indian Penal Code in respect of fraudulent payment-reversal activity.</w:t>
      </w:r>
    </w:p>
    <w:p w14:paraId="247A73C4" w14:textId="77777777" w:rsidR="00BC4304" w:rsidRDefault="00BC4304">
      <w:pPr>
        <w:spacing w:before="120"/>
      </w:pPr>
    </w:p>
    <w:p w14:paraId="08B7DE41" w14:textId="77777777" w:rsidR="00BC4304" w:rsidRDefault="00000000">
      <w:pPr>
        <w:pStyle w:val="Heading1"/>
        <w:pBdr>
          <w:bottom w:val="single" w:sz="10" w:space="4" w:color="C8A951"/>
        </w:pBdr>
      </w:pPr>
      <w:r>
        <w:t>11.  Governing Law &amp; Dispute Resolution</w:t>
      </w:r>
    </w:p>
    <w:p w14:paraId="10D611FF" w14:textId="77777777" w:rsidR="00BC4304" w:rsidRDefault="00000000">
      <w:pPr>
        <w:spacing w:before="60" w:after="60"/>
      </w:pPr>
      <w:r>
        <w:rPr>
          <w:color w:val="3A3A3A"/>
        </w:rPr>
        <w:t>This Policy is governed by and construed in accordance with the laws of India, without regard to conflict of law principles.</w:t>
      </w:r>
    </w:p>
    <w:p w14:paraId="7F7D27D1" w14:textId="77777777" w:rsidR="00BC4304" w:rsidRDefault="00BC4304">
      <w:pPr>
        <w:spacing w:before="60"/>
      </w:pPr>
    </w:p>
    <w:p w14:paraId="7F6D885D" w14:textId="77777777" w:rsidR="00BC4304" w:rsidRDefault="00000000">
      <w:pPr>
        <w:spacing w:before="60" w:after="60"/>
      </w:pPr>
      <w:r>
        <w:rPr>
          <w:color w:val="3A3A3A"/>
        </w:rPr>
        <w:t>Any dispute, claim, or controversy arising out of or relating to this Policy, or any breach thereof, shall be resolved as follows:</w:t>
      </w:r>
    </w:p>
    <w:p w14:paraId="28155957" w14:textId="656EBAE2" w:rsidR="00BC4304" w:rsidRDefault="00000000">
      <w:pPr>
        <w:pStyle w:val="ListParagraph"/>
        <w:numPr>
          <w:ilvl w:val="0"/>
          <w:numId w:val="2"/>
        </w:numPr>
        <w:spacing w:before="40" w:after="40"/>
      </w:pPr>
      <w:r>
        <w:rPr>
          <w:color w:val="3A3A3A"/>
        </w:rPr>
        <w:t xml:space="preserve">Stage 1 – Internal Escalation: The student shall submit a formal written complaint to </w:t>
      </w:r>
      <w:r w:rsidR="00E3741C">
        <w:rPr>
          <w:color w:val="3A3A3A"/>
        </w:rPr>
        <w:t>office@lawlit.in</w:t>
      </w:r>
      <w:r>
        <w:rPr>
          <w:color w:val="3A3A3A"/>
        </w:rPr>
        <w:t xml:space="preserve">. </w:t>
      </w:r>
      <w:proofErr w:type="spellStart"/>
      <w:r>
        <w:rPr>
          <w:color w:val="3A3A3A"/>
        </w:rPr>
        <w:t>Lawlit</w:t>
      </w:r>
      <w:proofErr w:type="spellEnd"/>
      <w:r>
        <w:rPr>
          <w:color w:val="3A3A3A"/>
        </w:rPr>
        <w:t xml:space="preserve"> shall respond within 10 business days. Both parties shall negotiate in good faith for a period of 15 calendar days from the date of the complaint (“Negotiation Period”).</w:t>
      </w:r>
    </w:p>
    <w:p w14:paraId="56111454" w14:textId="77777777" w:rsidR="00BC4304" w:rsidRDefault="00000000">
      <w:pPr>
        <w:pStyle w:val="ListParagraph"/>
        <w:numPr>
          <w:ilvl w:val="0"/>
          <w:numId w:val="2"/>
        </w:numPr>
        <w:spacing w:before="40" w:after="40"/>
      </w:pPr>
      <w:r>
        <w:rPr>
          <w:color w:val="3A3A3A"/>
        </w:rPr>
        <w:t>Stage 2 – Mediation: If unresolved after the Negotiation Period, either party may refer the dispute to a mutually agreed mediator in New Delhi. Mediation costs shall be borne equally.</w:t>
      </w:r>
    </w:p>
    <w:p w14:paraId="6845BD6B" w14:textId="77777777" w:rsidR="00BC4304" w:rsidRDefault="00000000">
      <w:pPr>
        <w:pStyle w:val="ListParagraph"/>
        <w:numPr>
          <w:ilvl w:val="0"/>
          <w:numId w:val="2"/>
        </w:numPr>
        <w:spacing w:before="40" w:after="40"/>
      </w:pPr>
      <w:r>
        <w:rPr>
          <w:color w:val="3A3A3A"/>
        </w:rPr>
        <w:t>Stage 3 – Litigation: If unresolved after mediation, the dispute shall be subject to the exclusive jurisdiction of the courts in New Delhi, India.</w:t>
      </w:r>
    </w:p>
    <w:p w14:paraId="5680A915" w14:textId="77777777" w:rsidR="00BC4304" w:rsidRDefault="00BC4304">
      <w:pPr>
        <w:spacing w:before="60"/>
      </w:pPr>
    </w:p>
    <w:p w14:paraId="20E36418" w14:textId="77777777" w:rsidR="00BC4304" w:rsidRDefault="00000000">
      <w:pPr>
        <w:spacing w:before="60" w:after="60"/>
      </w:pPr>
      <w:r>
        <w:rPr>
          <w:color w:val="3A3A3A"/>
        </w:rPr>
        <w:t xml:space="preserve">Nothing in this Clause prevents </w:t>
      </w:r>
      <w:proofErr w:type="spellStart"/>
      <w:r>
        <w:rPr>
          <w:color w:val="3A3A3A"/>
        </w:rPr>
        <w:t>Lawlit</w:t>
      </w:r>
      <w:proofErr w:type="spellEnd"/>
      <w:r>
        <w:rPr>
          <w:color w:val="3A3A3A"/>
        </w:rPr>
        <w:t xml:space="preserve"> from seeking urgent injunctive or interim relief from any court of competent jurisdiction.</w:t>
      </w:r>
    </w:p>
    <w:p w14:paraId="4E83C1E9" w14:textId="77777777" w:rsidR="00BC4304" w:rsidRDefault="00BC4304">
      <w:pPr>
        <w:spacing w:before="120"/>
      </w:pPr>
    </w:p>
    <w:p w14:paraId="2FB2F5A4" w14:textId="77777777" w:rsidR="00BC4304" w:rsidRDefault="00000000">
      <w:pPr>
        <w:pStyle w:val="Heading1"/>
        <w:pBdr>
          <w:bottom w:val="single" w:sz="10" w:space="4" w:color="C8A951"/>
        </w:pBdr>
      </w:pPr>
      <w:r>
        <w:t>12.  Consumer Protection Act, 2019 — Disclosure</w:t>
      </w:r>
    </w:p>
    <w:p w14:paraId="7F8660ED" w14:textId="77777777" w:rsidR="00BC4304" w:rsidRDefault="00000000">
      <w:pPr>
        <w:spacing w:before="60" w:after="60"/>
      </w:pPr>
      <w:r>
        <w:rPr>
          <w:color w:val="3A3A3A"/>
        </w:rPr>
        <w:t>This Policy is published in accordance with the Consumer Protection Act, 2019 (“CPA 2019”) and the Consumer Protection (E-Commerce) Rules, 2020. In accordance with applicable law:</w:t>
      </w:r>
    </w:p>
    <w:p w14:paraId="614167D2" w14:textId="77777777" w:rsidR="00BC4304" w:rsidRDefault="00000000">
      <w:pPr>
        <w:pStyle w:val="ListParagraph"/>
        <w:numPr>
          <w:ilvl w:val="0"/>
          <w:numId w:val="2"/>
        </w:numPr>
        <w:spacing w:before="40" w:after="40"/>
      </w:pPr>
      <w:r>
        <w:rPr>
          <w:color w:val="3A3A3A"/>
        </w:rPr>
        <w:t xml:space="preserve">Students retain the right to file a complaint before the National Consumer Disputes Redressal Commission (NCDRC) or the appropriate State/District Consumer Forum if they believe </w:t>
      </w:r>
      <w:proofErr w:type="spellStart"/>
      <w:r>
        <w:rPr>
          <w:color w:val="3A3A3A"/>
        </w:rPr>
        <w:t>Lawlit</w:t>
      </w:r>
      <w:proofErr w:type="spellEnd"/>
      <w:r>
        <w:rPr>
          <w:color w:val="3A3A3A"/>
        </w:rPr>
        <w:t xml:space="preserve"> has engaged in an unfair trade practice or a deficiency of service.</w:t>
      </w:r>
    </w:p>
    <w:p w14:paraId="2538C9B8" w14:textId="77777777" w:rsidR="00BC4304" w:rsidRDefault="00000000">
      <w:pPr>
        <w:pStyle w:val="ListParagraph"/>
        <w:numPr>
          <w:ilvl w:val="0"/>
          <w:numId w:val="2"/>
        </w:numPr>
        <w:spacing w:before="40" w:after="40"/>
      </w:pPr>
      <w:r>
        <w:rPr>
          <w:color w:val="3A3A3A"/>
        </w:rPr>
        <w:lastRenderedPageBreak/>
        <w:t>Nothing in this Policy limits or excludes any right that cannot lawfully be excluded or restricted under mandatory consumer protection law.</w:t>
      </w:r>
    </w:p>
    <w:p w14:paraId="0996405C" w14:textId="7AC69A57" w:rsidR="00CC7709" w:rsidRDefault="00000000" w:rsidP="00CC7709">
      <w:pPr>
        <w:pStyle w:val="ListParagraph"/>
        <w:numPr>
          <w:ilvl w:val="0"/>
          <w:numId w:val="2"/>
        </w:numPr>
        <w:spacing w:before="40" w:after="40"/>
      </w:pPr>
      <w:r>
        <w:rPr>
          <w:color w:val="3A3A3A"/>
        </w:rPr>
        <w:t>In the event of a conflict between any provision of this Policy and a mandatory provision of CPA 2019 or rules thereunder, the mandatory provision shall prevail to the extent of the conflict only.</w:t>
      </w:r>
    </w:p>
    <w:p w14:paraId="5E6448BF" w14:textId="438BDB75" w:rsidR="00CC7709" w:rsidRPr="00CC7709" w:rsidRDefault="00CC7709" w:rsidP="00CC7709">
      <w:pPr>
        <w:pStyle w:val="Heading1"/>
        <w:pBdr>
          <w:bottom w:val="single" w:sz="10" w:space="4" w:color="C8A951"/>
        </w:pBdr>
      </w:pPr>
      <w:r>
        <w:t xml:space="preserve">13.  </w:t>
      </w:r>
      <w:r>
        <w:t>Limitation of Liability</w:t>
      </w:r>
    </w:p>
    <w:p w14:paraId="4847BA67" w14:textId="77777777" w:rsidR="00CC7709" w:rsidRPr="00CC7709" w:rsidRDefault="00CC7709" w:rsidP="00CC7709">
      <w:pPr>
        <w:spacing w:before="120"/>
        <w:jc w:val="both"/>
        <w:rPr>
          <w:color w:val="3A3A3A"/>
          <w:lang w:val="en-US"/>
        </w:rPr>
      </w:pPr>
      <w:r w:rsidRPr="00CC7709">
        <w:rPr>
          <w:color w:val="3A3A3A"/>
          <w:lang w:val="en-US"/>
        </w:rPr>
        <w:t xml:space="preserve">To the maximum extent permitted under applicable law, </w:t>
      </w:r>
      <w:proofErr w:type="spellStart"/>
      <w:r w:rsidRPr="00CC7709">
        <w:rPr>
          <w:color w:val="3A3A3A"/>
          <w:lang w:val="en-US"/>
        </w:rPr>
        <w:t>Lawlit</w:t>
      </w:r>
      <w:proofErr w:type="spellEnd"/>
      <w:r w:rsidRPr="00CC7709">
        <w:rPr>
          <w:color w:val="3A3A3A"/>
          <w:lang w:val="en-US"/>
        </w:rPr>
        <w:t xml:space="preserve">, its founders, instructors, employees, affiliates, contractors, and representatives shall not be liable for any indirect, incidental, consequential, special, exemplary, or punitive damages arising out of or relating to the student’s enrolment, participation in any </w:t>
      </w:r>
      <w:proofErr w:type="spellStart"/>
      <w:r w:rsidRPr="00CC7709">
        <w:rPr>
          <w:color w:val="3A3A3A"/>
          <w:lang w:val="en-US"/>
        </w:rPr>
        <w:t>programme</w:t>
      </w:r>
      <w:proofErr w:type="spellEnd"/>
      <w:r w:rsidRPr="00CC7709">
        <w:rPr>
          <w:color w:val="3A3A3A"/>
          <w:lang w:val="en-US"/>
        </w:rPr>
        <w:t xml:space="preserve">, use of the platform, or reliance on any materials or services provided by </w:t>
      </w:r>
      <w:proofErr w:type="spellStart"/>
      <w:r w:rsidRPr="00CC7709">
        <w:rPr>
          <w:color w:val="3A3A3A"/>
          <w:lang w:val="en-US"/>
        </w:rPr>
        <w:t>Lawlit</w:t>
      </w:r>
      <w:proofErr w:type="spellEnd"/>
      <w:r w:rsidRPr="00CC7709">
        <w:rPr>
          <w:color w:val="3A3A3A"/>
          <w:lang w:val="en-US"/>
        </w:rPr>
        <w:t>.</w:t>
      </w:r>
    </w:p>
    <w:p w14:paraId="02C6D44B" w14:textId="77777777" w:rsidR="00CC7709" w:rsidRPr="00CC7709" w:rsidRDefault="00CC7709" w:rsidP="00CC7709">
      <w:pPr>
        <w:spacing w:before="120"/>
        <w:jc w:val="both"/>
        <w:rPr>
          <w:color w:val="3A3A3A"/>
          <w:lang w:val="en-US"/>
        </w:rPr>
      </w:pPr>
      <w:proofErr w:type="spellStart"/>
      <w:r w:rsidRPr="00CC7709">
        <w:rPr>
          <w:color w:val="3A3A3A"/>
          <w:lang w:val="en-US"/>
        </w:rPr>
        <w:t>Lawlit’s</w:t>
      </w:r>
      <w:proofErr w:type="spellEnd"/>
      <w:r w:rsidRPr="00CC7709">
        <w:rPr>
          <w:color w:val="3A3A3A"/>
          <w:lang w:val="en-US"/>
        </w:rPr>
        <w:t xml:space="preserve"> total aggregate liability arising out of or relating to any claim, dispute, or cause of action under this Policy, whether in contract, tort, negligence, statutory liability, or otherwise, shall in no event exceed INR 500 (Indian Rupees Five Hundred only).</w:t>
      </w:r>
    </w:p>
    <w:p w14:paraId="20CAF0AE" w14:textId="77777777" w:rsidR="00CC7709" w:rsidRPr="00CC7709" w:rsidRDefault="00CC7709" w:rsidP="00CC7709">
      <w:pPr>
        <w:spacing w:before="120"/>
        <w:jc w:val="both"/>
        <w:rPr>
          <w:color w:val="3A3A3A"/>
          <w:lang w:val="en-US"/>
        </w:rPr>
      </w:pPr>
      <w:r w:rsidRPr="00CC7709">
        <w:rPr>
          <w:color w:val="3A3A3A"/>
          <w:lang w:val="en-US"/>
        </w:rPr>
        <w:t>Nothing in this clause shall limit liability that cannot lawfully be excluded under applicable law.</w:t>
      </w:r>
    </w:p>
    <w:p w14:paraId="11D6E66B" w14:textId="77777777" w:rsidR="00BC4304" w:rsidRPr="00CC7709" w:rsidRDefault="00BC4304">
      <w:pPr>
        <w:spacing w:before="120"/>
        <w:rPr>
          <w:lang w:val="en-US"/>
        </w:rPr>
      </w:pPr>
    </w:p>
    <w:p w14:paraId="7C52574E" w14:textId="77777777" w:rsidR="00BC4304" w:rsidRDefault="00000000">
      <w:pPr>
        <w:pStyle w:val="Heading1"/>
        <w:pBdr>
          <w:bottom w:val="single" w:sz="10" w:space="4" w:color="C8A951"/>
        </w:pBdr>
      </w:pPr>
      <w:r>
        <w:t>13.  Changes to This Policy</w:t>
      </w:r>
    </w:p>
    <w:p w14:paraId="7DEC53A1" w14:textId="77777777" w:rsidR="00BC4304" w:rsidRDefault="00000000">
      <w:pPr>
        <w:spacing w:before="60" w:after="60"/>
      </w:pPr>
      <w:proofErr w:type="spellStart"/>
      <w:r>
        <w:rPr>
          <w:color w:val="3A3A3A"/>
        </w:rPr>
        <w:t>Lawlit</w:t>
      </w:r>
      <w:proofErr w:type="spellEnd"/>
      <w:r>
        <w:rPr>
          <w:color w:val="3A3A3A"/>
        </w:rPr>
        <w:t xml:space="preserve"> reserves the right to amend this Policy at any time by publishing a revised version at lawlit.in/legal/refund-policy with an updated effective date. Amendments shall not apply retrospectively to enrolments already made; the Policy in force at the date of a student’s enrolment shall continue to govern that enrolment for its entire duration.</w:t>
      </w:r>
    </w:p>
    <w:p w14:paraId="6E5130E9" w14:textId="77777777" w:rsidR="00BC4304" w:rsidRDefault="00BC4304">
      <w:pPr>
        <w:spacing w:before="120"/>
      </w:pPr>
    </w:p>
    <w:p w14:paraId="3BCE4A5D" w14:textId="0ED8C0F6" w:rsidR="00BC4304" w:rsidRDefault="00000000">
      <w:pPr>
        <w:pStyle w:val="Heading1"/>
        <w:pBdr>
          <w:bottom w:val="single" w:sz="10" w:space="4" w:color="C8A951"/>
        </w:pBdr>
      </w:pPr>
      <w:r>
        <w:t>14.  Contact Information</w:t>
      </w:r>
    </w:p>
    <w:p w14:paraId="7407A507" w14:textId="77777777" w:rsidR="00BC4304" w:rsidRDefault="00000000">
      <w:pPr>
        <w:spacing w:before="60" w:after="60"/>
      </w:pPr>
      <w:r>
        <w:rPr>
          <w:color w:val="3A3A3A"/>
        </w:rPr>
        <w:t>For all refund, credit, deferral, and cancellation enquiries:</w:t>
      </w:r>
    </w:p>
    <w:p w14:paraId="6452F62D" w14:textId="77777777" w:rsidR="00BC4304" w:rsidRDefault="00BC4304">
      <w:pPr>
        <w:spacing w:before="60"/>
      </w:pPr>
    </w:p>
    <w:p w14:paraId="5DBB0745" w14:textId="77777777" w:rsidR="00BC4304" w:rsidRDefault="00000000">
      <w:pPr>
        <w:pStyle w:val="ListParagraph"/>
        <w:numPr>
          <w:ilvl w:val="0"/>
          <w:numId w:val="2"/>
        </w:numPr>
        <w:spacing w:before="40" w:after="40"/>
      </w:pPr>
      <w:r>
        <w:rPr>
          <w:color w:val="3A3A3A"/>
        </w:rPr>
        <w:t xml:space="preserve">General enquiries:  </w:t>
      </w:r>
      <w:proofErr w:type="spellStart"/>
      <w:r>
        <w:rPr>
          <w:color w:val="3A3A3A"/>
        </w:rPr>
        <w:t>hello@lawlit.education</w:t>
      </w:r>
      <w:proofErr w:type="spellEnd"/>
    </w:p>
    <w:p w14:paraId="6B12C39F" w14:textId="14338D1D" w:rsidR="00BC4304" w:rsidRDefault="00000000">
      <w:pPr>
        <w:pStyle w:val="ListParagraph"/>
        <w:numPr>
          <w:ilvl w:val="0"/>
          <w:numId w:val="2"/>
        </w:numPr>
        <w:spacing w:before="40" w:after="40"/>
      </w:pPr>
      <w:r>
        <w:rPr>
          <w:color w:val="3A3A3A"/>
        </w:rPr>
        <w:t xml:space="preserve">Legal &amp; compliance:  </w:t>
      </w:r>
      <w:r w:rsidR="00E3741C">
        <w:rPr>
          <w:color w:val="3A3A3A"/>
        </w:rPr>
        <w:t>office@lawlit.in</w:t>
      </w:r>
    </w:p>
    <w:p w14:paraId="49E797A2" w14:textId="77777777" w:rsidR="00BC4304" w:rsidRDefault="00000000">
      <w:pPr>
        <w:pStyle w:val="ListParagraph"/>
        <w:numPr>
          <w:ilvl w:val="0"/>
          <w:numId w:val="2"/>
        </w:numPr>
        <w:spacing w:before="40" w:after="40"/>
      </w:pPr>
      <w:r>
        <w:rPr>
          <w:color w:val="3A3A3A"/>
        </w:rPr>
        <w:t>Website:  https://lawlit.in</w:t>
      </w:r>
    </w:p>
    <w:p w14:paraId="54B0F8D8" w14:textId="77777777" w:rsidR="00BC4304" w:rsidRDefault="00000000">
      <w:pPr>
        <w:pStyle w:val="ListParagraph"/>
        <w:numPr>
          <w:ilvl w:val="0"/>
          <w:numId w:val="2"/>
        </w:numPr>
        <w:spacing w:before="40" w:after="40"/>
      </w:pPr>
      <w:r>
        <w:rPr>
          <w:color w:val="3A3A3A"/>
        </w:rPr>
        <w:t>Postal address:  As specified in your offer letter or on lawlit.in/contact</w:t>
      </w:r>
    </w:p>
    <w:p w14:paraId="24474BE4" w14:textId="77777777" w:rsidR="00BC4304" w:rsidRDefault="00BC4304">
      <w:pPr>
        <w:spacing w:before="120"/>
      </w:pPr>
    </w:p>
    <w:p w14:paraId="5E372000" w14:textId="77777777" w:rsidR="00BC4304" w:rsidRDefault="00BC4304">
      <w:pPr>
        <w:pBdr>
          <w:bottom w:val="single" w:sz="6" w:space="1" w:color="D0D6E8"/>
        </w:pBdr>
        <w:spacing w:before="80" w:after="80"/>
      </w:pPr>
    </w:p>
    <w:p w14:paraId="03D3865B" w14:textId="77777777" w:rsidR="00BC4304" w:rsidRDefault="00000000">
      <w:pPr>
        <w:spacing w:before="120" w:after="60"/>
        <w:jc w:val="center"/>
      </w:pPr>
      <w:r>
        <w:rPr>
          <w:i/>
          <w:iCs/>
          <w:color w:val="888888"/>
          <w:sz w:val="18"/>
          <w:szCs w:val="18"/>
        </w:rPr>
        <w:t xml:space="preserve">© 2024–2026 </w:t>
      </w:r>
      <w:proofErr w:type="spellStart"/>
      <w:r>
        <w:rPr>
          <w:i/>
          <w:iCs/>
          <w:color w:val="888888"/>
          <w:sz w:val="18"/>
          <w:szCs w:val="18"/>
        </w:rPr>
        <w:t>Lawlit</w:t>
      </w:r>
      <w:proofErr w:type="spellEnd"/>
      <w:r>
        <w:rPr>
          <w:i/>
          <w:iCs/>
          <w:color w:val="888888"/>
          <w:sz w:val="18"/>
          <w:szCs w:val="18"/>
        </w:rPr>
        <w:t xml:space="preserve"> Inc. All rights reserved.</w:t>
      </w:r>
    </w:p>
    <w:p w14:paraId="64D6092E" w14:textId="170F3076" w:rsidR="00BC4304" w:rsidRDefault="00000000">
      <w:pPr>
        <w:spacing w:after="60"/>
        <w:jc w:val="center"/>
      </w:pPr>
      <w:proofErr w:type="gramStart"/>
      <w:r>
        <w:rPr>
          <w:color w:val="888888"/>
          <w:sz w:val="18"/>
          <w:szCs w:val="18"/>
        </w:rPr>
        <w:t>https://lawlit.in  ·</w:t>
      </w:r>
      <w:proofErr w:type="gramEnd"/>
      <w:r>
        <w:rPr>
          <w:color w:val="888888"/>
          <w:sz w:val="18"/>
          <w:szCs w:val="18"/>
        </w:rPr>
        <w:t xml:space="preserve">  </w:t>
      </w:r>
      <w:r w:rsidR="00E3741C">
        <w:rPr>
          <w:color w:val="888888"/>
          <w:sz w:val="18"/>
          <w:szCs w:val="18"/>
        </w:rPr>
        <w:t>office@lawlit.in</w:t>
      </w:r>
    </w:p>
    <w:sectPr w:rsidR="00BC4304">
      <w:headerReference w:type="default" r:id="rId8"/>
      <w:footerReference w:type="default" r:id="rId9"/>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A7B1" w14:textId="77777777" w:rsidR="005F52BC" w:rsidRDefault="005F52BC">
      <w:r>
        <w:separator/>
      </w:r>
    </w:p>
  </w:endnote>
  <w:endnote w:type="continuationSeparator" w:id="0">
    <w:p w14:paraId="78FE0B67" w14:textId="77777777" w:rsidR="005F52BC" w:rsidRDefault="005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0049" w14:textId="7C59DA67" w:rsidR="00BC4304" w:rsidRDefault="00000000">
    <w:pPr>
      <w:pBdr>
        <w:top w:val="single" w:sz="6" w:space="4" w:color="1A2B6B"/>
      </w:pBdr>
      <w:tabs>
        <w:tab w:val="right" w:pos="9026"/>
      </w:tabs>
      <w:spacing w:before="100"/>
    </w:pPr>
    <w:proofErr w:type="gramStart"/>
    <w:r>
      <w:rPr>
        <w:color w:val="888888"/>
        <w:sz w:val="18"/>
        <w:szCs w:val="18"/>
      </w:rPr>
      <w:t>lawlit.in  ·</w:t>
    </w:r>
    <w:proofErr w:type="gramEnd"/>
    <w:r>
      <w:rPr>
        <w:color w:val="888888"/>
        <w:sz w:val="18"/>
        <w:szCs w:val="18"/>
      </w:rPr>
      <w:t xml:space="preserve">  </w:t>
    </w:r>
    <w:r w:rsidR="00E3741C">
      <w:rPr>
        <w:color w:val="888888"/>
        <w:sz w:val="18"/>
        <w:szCs w:val="18"/>
      </w:rPr>
      <w:t>office@lawlit.in</w:t>
    </w:r>
    <w:r>
      <w:rPr>
        <w:color w:val="888888"/>
        <w:sz w:val="18"/>
        <w:szCs w:val="18"/>
      </w:rPr>
      <w:tab/>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E3741C">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E3741C">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AC01" w14:textId="77777777" w:rsidR="005F52BC" w:rsidRDefault="005F52BC">
      <w:r>
        <w:separator/>
      </w:r>
    </w:p>
  </w:footnote>
  <w:footnote w:type="continuationSeparator" w:id="0">
    <w:p w14:paraId="06B03EDE" w14:textId="77777777" w:rsidR="005F52BC" w:rsidRDefault="005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B0CD" w14:textId="77777777" w:rsidR="00BC4304" w:rsidRDefault="00000000">
    <w:pPr>
      <w:pBdr>
        <w:bottom w:val="single" w:sz="6" w:space="4" w:color="1A2B6B"/>
      </w:pBdr>
      <w:tabs>
        <w:tab w:val="right" w:pos="9026"/>
      </w:tabs>
      <w:spacing w:after="100"/>
    </w:pPr>
    <w:r>
      <w:rPr>
        <w:b/>
        <w:bCs/>
        <w:color w:val="1A2B6B"/>
      </w:rPr>
      <w:t>LAWLIT</w:t>
    </w:r>
    <w:r>
      <w:rPr>
        <w:color w:val="888888"/>
        <w:sz w:val="20"/>
        <w:szCs w:val="20"/>
      </w:rPr>
      <w:tab/>
      <w:t>Refund &amp; Cancellation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490F"/>
    <w:multiLevelType w:val="hybridMultilevel"/>
    <w:tmpl w:val="72D8650C"/>
    <w:lvl w:ilvl="0" w:tplc="F7A64A1A">
      <w:start w:val="1"/>
      <w:numFmt w:val="bullet"/>
      <w:lvlText w:val="●"/>
      <w:lvlJc w:val="left"/>
      <w:pPr>
        <w:ind w:left="720" w:hanging="360"/>
      </w:pPr>
    </w:lvl>
    <w:lvl w:ilvl="1" w:tplc="4368373C">
      <w:start w:val="1"/>
      <w:numFmt w:val="bullet"/>
      <w:lvlText w:val="○"/>
      <w:lvlJc w:val="left"/>
      <w:pPr>
        <w:ind w:left="1440" w:hanging="360"/>
      </w:pPr>
    </w:lvl>
    <w:lvl w:ilvl="2" w:tplc="464AE0DE">
      <w:start w:val="1"/>
      <w:numFmt w:val="bullet"/>
      <w:lvlText w:val="■"/>
      <w:lvlJc w:val="left"/>
      <w:pPr>
        <w:ind w:left="2160" w:hanging="360"/>
      </w:pPr>
    </w:lvl>
    <w:lvl w:ilvl="3" w:tplc="1E4E221E">
      <w:start w:val="1"/>
      <w:numFmt w:val="bullet"/>
      <w:lvlText w:val="●"/>
      <w:lvlJc w:val="left"/>
      <w:pPr>
        <w:ind w:left="2880" w:hanging="360"/>
      </w:pPr>
    </w:lvl>
    <w:lvl w:ilvl="4" w:tplc="35AEC400">
      <w:start w:val="1"/>
      <w:numFmt w:val="bullet"/>
      <w:lvlText w:val="○"/>
      <w:lvlJc w:val="left"/>
      <w:pPr>
        <w:ind w:left="3600" w:hanging="360"/>
      </w:pPr>
    </w:lvl>
    <w:lvl w:ilvl="5" w:tplc="E00812B2">
      <w:start w:val="1"/>
      <w:numFmt w:val="bullet"/>
      <w:lvlText w:val="■"/>
      <w:lvlJc w:val="left"/>
      <w:pPr>
        <w:ind w:left="4320" w:hanging="360"/>
      </w:pPr>
    </w:lvl>
    <w:lvl w:ilvl="6" w:tplc="8DD2235C">
      <w:start w:val="1"/>
      <w:numFmt w:val="bullet"/>
      <w:lvlText w:val="●"/>
      <w:lvlJc w:val="left"/>
      <w:pPr>
        <w:ind w:left="5040" w:hanging="360"/>
      </w:pPr>
    </w:lvl>
    <w:lvl w:ilvl="7" w:tplc="E2D48846">
      <w:start w:val="1"/>
      <w:numFmt w:val="bullet"/>
      <w:lvlText w:val="●"/>
      <w:lvlJc w:val="left"/>
      <w:pPr>
        <w:ind w:left="5760" w:hanging="360"/>
      </w:pPr>
    </w:lvl>
    <w:lvl w:ilvl="8" w:tplc="4D9E1172">
      <w:start w:val="1"/>
      <w:numFmt w:val="bullet"/>
      <w:lvlText w:val="●"/>
      <w:lvlJc w:val="left"/>
      <w:pPr>
        <w:ind w:left="6480" w:hanging="360"/>
      </w:pPr>
    </w:lvl>
  </w:abstractNum>
  <w:abstractNum w:abstractNumId="1" w15:restartNumberingAfterBreak="0">
    <w:nsid w:val="6A0C132A"/>
    <w:multiLevelType w:val="hybridMultilevel"/>
    <w:tmpl w:val="BAB66C56"/>
    <w:lvl w:ilvl="0" w:tplc="B3D6CF12">
      <w:start w:val="1"/>
      <w:numFmt w:val="bullet"/>
      <w:lvlText w:val="•"/>
      <w:lvlJc w:val="left"/>
      <w:pPr>
        <w:ind w:left="720" w:hanging="360"/>
      </w:pPr>
    </w:lvl>
    <w:lvl w:ilvl="1" w:tplc="9D485104">
      <w:start w:val="1"/>
      <w:numFmt w:val="bullet"/>
      <w:lvlText w:val="◦"/>
      <w:lvlJc w:val="left"/>
      <w:pPr>
        <w:ind w:left="1080" w:hanging="360"/>
      </w:pPr>
    </w:lvl>
    <w:lvl w:ilvl="2" w:tplc="5FA26432">
      <w:numFmt w:val="decimal"/>
      <w:lvlText w:val=""/>
      <w:lvlJc w:val="left"/>
    </w:lvl>
    <w:lvl w:ilvl="3" w:tplc="560A4974">
      <w:numFmt w:val="decimal"/>
      <w:lvlText w:val=""/>
      <w:lvlJc w:val="left"/>
    </w:lvl>
    <w:lvl w:ilvl="4" w:tplc="459CC166">
      <w:numFmt w:val="decimal"/>
      <w:lvlText w:val=""/>
      <w:lvlJc w:val="left"/>
    </w:lvl>
    <w:lvl w:ilvl="5" w:tplc="1E143C02">
      <w:numFmt w:val="decimal"/>
      <w:lvlText w:val=""/>
      <w:lvlJc w:val="left"/>
    </w:lvl>
    <w:lvl w:ilvl="6" w:tplc="AAFE5B50">
      <w:numFmt w:val="decimal"/>
      <w:lvlText w:val=""/>
      <w:lvlJc w:val="left"/>
    </w:lvl>
    <w:lvl w:ilvl="7" w:tplc="6CC41D1E">
      <w:numFmt w:val="decimal"/>
      <w:lvlText w:val=""/>
      <w:lvlJc w:val="left"/>
    </w:lvl>
    <w:lvl w:ilvl="8" w:tplc="4BCE79D0">
      <w:numFmt w:val="decimal"/>
      <w:lvlText w:val=""/>
      <w:lvlJc w:val="left"/>
    </w:lvl>
  </w:abstractNum>
  <w:num w:numId="1" w16cid:durableId="1874268184">
    <w:abstractNumId w:val="0"/>
    <w:lvlOverride w:ilvl="0">
      <w:startOverride w:val="1"/>
    </w:lvlOverride>
  </w:num>
  <w:num w:numId="2" w16cid:durableId="16131976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04"/>
    <w:rsid w:val="00342EF5"/>
    <w:rsid w:val="00413C16"/>
    <w:rsid w:val="005F52BC"/>
    <w:rsid w:val="00BC4304"/>
    <w:rsid w:val="00CC7709"/>
    <w:rsid w:val="00CD3A3F"/>
    <w:rsid w:val="00E3741C"/>
    <w:rsid w:val="00EB1F31"/>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698F"/>
  <w15:docId w15:val="{FA872379-C8EB-44FC-9479-7EA3D921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20" w:after="120"/>
      <w:outlineLvl w:val="0"/>
    </w:pPr>
    <w:rPr>
      <w:b/>
      <w:bCs/>
      <w:color w:val="1A2B6B"/>
      <w:sz w:val="28"/>
      <w:szCs w:val="28"/>
    </w:rPr>
  </w:style>
  <w:style w:type="paragraph" w:styleId="Heading2">
    <w:name w:val="heading 2"/>
    <w:uiPriority w:val="9"/>
    <w:unhideWhenUsed/>
    <w:qFormat/>
    <w:pPr>
      <w:spacing w:before="240" w:after="80"/>
      <w:outlineLvl w:val="1"/>
    </w:pPr>
    <w:rPr>
      <w:b/>
      <w:bCs/>
      <w:color w:val="1A2B6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3741C"/>
    <w:pPr>
      <w:tabs>
        <w:tab w:val="center" w:pos="4513"/>
        <w:tab w:val="right" w:pos="9026"/>
      </w:tabs>
    </w:pPr>
  </w:style>
  <w:style w:type="character" w:customStyle="1" w:styleId="HeaderChar">
    <w:name w:val="Header Char"/>
    <w:basedOn w:val="DefaultParagraphFont"/>
    <w:link w:val="Header"/>
    <w:uiPriority w:val="99"/>
    <w:rsid w:val="00E3741C"/>
  </w:style>
  <w:style w:type="paragraph" w:styleId="Footer">
    <w:name w:val="footer"/>
    <w:basedOn w:val="Normal"/>
    <w:link w:val="FooterChar"/>
    <w:uiPriority w:val="99"/>
    <w:unhideWhenUsed/>
    <w:rsid w:val="00E3741C"/>
    <w:pPr>
      <w:tabs>
        <w:tab w:val="center" w:pos="4513"/>
        <w:tab w:val="right" w:pos="9026"/>
      </w:tabs>
    </w:pPr>
  </w:style>
  <w:style w:type="character" w:customStyle="1" w:styleId="FooterChar">
    <w:name w:val="Footer Char"/>
    <w:basedOn w:val="DefaultParagraphFont"/>
    <w:link w:val="Footer"/>
    <w:uiPriority w:val="99"/>
    <w:rsid w:val="00E3741C"/>
  </w:style>
  <w:style w:type="character" w:styleId="UnresolvedMention">
    <w:name w:val="Unresolved Mention"/>
    <w:basedOn w:val="DefaultParagraphFont"/>
    <w:uiPriority w:val="99"/>
    <w:semiHidden/>
    <w:unhideWhenUsed/>
    <w:rsid w:val="00EB1F31"/>
    <w:rPr>
      <w:color w:val="605E5C"/>
      <w:shd w:val="clear" w:color="auto" w:fill="E1DFDD"/>
    </w:rPr>
  </w:style>
  <w:style w:type="character" w:customStyle="1" w:styleId="Heading1Char">
    <w:name w:val="Heading 1 Char"/>
    <w:basedOn w:val="DefaultParagraphFont"/>
    <w:link w:val="Heading1"/>
    <w:uiPriority w:val="9"/>
    <w:rsid w:val="00CC7709"/>
    <w:rPr>
      <w:b/>
      <w:bCs/>
      <w:color w:val="1A2B6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lawli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2580</Words>
  <Characters>14708</Characters>
  <Application>Microsoft Office Word</Application>
  <DocSecurity>0</DocSecurity>
  <Lines>122</Lines>
  <Paragraphs>34</Paragraphs>
  <ScaleCrop>false</ScaleCrop>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Harshvardhan Mudgal</cp:lastModifiedBy>
  <cp:revision>4</cp:revision>
  <dcterms:created xsi:type="dcterms:W3CDTF">2026-05-27T16:55:00Z</dcterms:created>
  <dcterms:modified xsi:type="dcterms:W3CDTF">2026-05-28T10:30:00Z</dcterms:modified>
</cp:coreProperties>
</file>